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santander_export_growth_regression</w:t>
      </w:r>
    </w:p>
    <w:p>
      <w:r>
        <w:t xml:space="preserve"> </w:t>
      </w:r>
    </w:p>
    <w:p>
      <w:pPr>
        <w:pStyle w:val="Heading2"/>
      </w:pPr>
      <w:r>
        <w:t>Title</w:t>
      </w:r>
    </w:p>
    <w:p>
      <w:r>
        <w:t>Causal panel regression analysis of firm export growth in Santander, Colombia using linked administrative data and robustness simulations</w:t>
      </w:r>
    </w:p>
    <w:p>
      <w:r>
        <w:t xml:space="preserve"> </w:t>
      </w:r>
    </w:p>
    <w:p>
      <w:pPr>
        <w:pStyle w:val="Heading2"/>
      </w:pPr>
      <w:r>
        <w:t>Short Hypothesis</w:t>
      </w:r>
    </w:p>
    <w:p>
      <w:r>
        <w:t>Reducing a firm's average customs clearance time causes an increase in its annual export value growth in Santander, Colombia.</w:t>
      </w:r>
    </w:p>
    <w:p>
      <w:r>
        <w:t xml:space="preserve"> </w:t>
      </w:r>
    </w:p>
    <w:p>
      <w:pPr>
        <w:pStyle w:val="Heading2"/>
      </w:pPr>
      <w:r>
        <w:t>Related Work</w:t>
      </w:r>
    </w:p>
    <w:p>
      <w:r>
        <w:t>Existing empirical work on export growth uses gravity and panel regression models (including Poisson Pseudo‑Maximum Likelihood, PPML) to estimate how firm, product and partner factors affect export flows. Survival analyses (Cox models) have been used to study firm exit. Shift‑share (Bartik) instruments and staggered difference‑in‑differences have been applied to identify causal effects from policy or demand shocks. Limitations in prior approaches include: (1) inadequate handling of zeros and mass at zero in export values (many papers use log+1 or omit zeros rather than two‑part/hurdle models); (2) sensitivity to weak instruments and endogenous shares in shift‑share designs; (3) lack of integrated treatment of linkage error when merging customs, financial, and shipment records; (4) limited accounting for differential privacy noise and its impact on inference; (5) low attention to small‑cluster inference and realistic DGP simulations that include heteroskedasticity and serial correlation. These gaps reduce robustness and reproducibility of causal claims.</w:t>
      </w:r>
    </w:p>
    <w:p>
      <w:r>
        <w:t xml:space="preserve"> </w:t>
      </w:r>
    </w:p>
    <w:p>
      <w:pPr>
        <w:pStyle w:val="Heading2"/>
      </w:pPr>
      <w:r>
        <w:t>Abstract</w:t>
      </w:r>
    </w:p>
    <w:p>
      <w:r>
        <w:t>We analyze the causal drivers of firm export growth in Santander, Colombia over 2010–2020 by linking customs manifests, firm financials, and regional opportunity maps into a firm‑year panel. The primary treatment is customs clearance time (a supply‑chain delay metric); the main outcome is annual export value. We estimate causal effects using panel regression (fixed effects), PPML (handles zeros in trade data), Cox survival models (firm exit risk), and 2SLS with shift‑share (Bartik) instruments. We seed a reproducible simulation suite with hurdle (two‑part) data generating processes that include AR(1) serial correlation and linkage error to produce minimum detectable effects and CI coverage diagnostics. Main contributions: (1) a linked, validated pipeline that quantifies how clearance time affects export growth and survival; (2) pre‑registered robustness to linkage error, weak IVs, DP noise (privacy), and small‑cluster inference; (3) actionable MDE and decision rules for aggregation/suppression. Expected outcome: policy‑relevant, reproducible estimates of how operational delays affect SME export performance.</w:t>
      </w:r>
    </w:p>
    <w:p>
      <w:r>
        <w:t xml:space="preserve"> </w:t>
      </w:r>
    </w:p>
    <w:p>
      <w:pPr>
        <w:pStyle w:val="Heading2"/>
      </w:pPr>
      <w:r>
        <w:t>Experiments</w:t>
      </w:r>
    </w:p>
    <w:p>
      <w:r>
        <w:t>Datasets: (a) Firm‑year panel of exporters registered in Santander, Colombia, 2010–2020 (firm id, year, sector, size, age, financial indicators: assets, sales, profit margins); (b) shipment‑level customs manifests (arrival timestamp, inspection timestamp, release timestamp, HS6, destination, freight, CIF value); (c) regional opportunity map variables and partner macro controls (partner GDP, REER, freight index); (d) validation subsample for probabilistic linkage (n≈1,500 stratified by size/sector/region). Baselines: (1) OLS panel regression with firm and year fixed effects; (2) PPML gravity model with exporter×year and destination×year fixed effects (primary for export value); (3) Cox proportional hazards model for exit (with frailty term); (4) 2SLS using time‑stationary leave‑out Bartik instrument (baseline) and naive OLS as contrast. Estimation details: covariates = firm age, logged size, sector×year dummies, partner GDP, REER, freight index; cluster SEs at firm; report wild‑cluster bootstrap when clusters&lt;50. Treatment: continuous clearance_time (hours) and binary indicator for reduction &gt;median. Evaluation metrics: semi‑elasticity of export value (% change for a unit change in treatment), hazard ratio for exit, RMSE, bias under linkage error, coverage of 95% CIs, power and MDE tables, first‑stage F and partial R². Robustness and ablations: A1) linkage: compare results using deterministic matches (p&gt;0.975), probabilistic matches (p&gt;0.95), and multiple imputation (M=20) fed by Fellegi–Sunter match probabilities and alternative Beta priors (Beta(50,10) vs Beta(20,20) vs uninformative); report sensitivity. A2) instrument variants: baseline time‑stationary leave‑out Bartik vs time‑varying Bartik vs demand‑only Bartik excluding neighbor demand; run AR/CILR and LIML when weak (F&lt;10). A3) outcome models: hurdle two‑part + PPML + Tobit + zero‑inflated log‑normal; compare bias and RMSE. A4) privacy: apply Gaussian/Laplace noise per a pre‑specified Rényi DP per‑release ε schedule (examples: ε=1.0,0.5) and report MDE inflation and CI width changes. Simulation grid: seed DGPs with AR(1) ρ∈{0.2,0.4,0.6}, ICC∈{0.05,0.13,0.2}, heteroskedastic variances, zero mass rates {10%,30%,50%}, linkage error rates {1%,5%,10%}, cluster counts {10,30,50,100}. For each scenario compute bias, empirical CI coverage, type I error, and power. Pre‑registered decision rules: if first‑stage F&lt;10 use AR/CILR CIs and report LIML; suppress or aggregate cells with &lt;50 firms or if DP noise implies N multiplier&gt;1.5. Reproducibility: publish seeded notebooks, seeds, DGP params, and unit tests for the decision tree on aggregation/suppression.</w:t>
      </w:r>
    </w:p>
    <w:p>
      <w:r>
        <w:t xml:space="preserve"> </w:t>
      </w:r>
    </w:p>
    <w:p>
      <w:pPr>
        <w:pStyle w:val="Heading2"/>
      </w:pPr>
      <w:r>
        <w:t>Risk Factors And Limitations</w:t>
      </w:r>
    </w:p>
    <w:p>
      <w:r>
        <w:t>Data quality and linkage: incomplete or inconsistent customs timestamps and missing tax IDs may produce linkage error; results depend on validation subsample representativeness. Small sample and event counts: few exporting firms or low exit events reduce power, increase variance, and limit use of standard asymptotic SEs. Weak instruments and endogeneity: Bartik-style instruments can be weak or violate exclusion if local shocks correlate with unobserved firm trends. Differential privacy: adding noise (DP) inflates variance and may require aggregation that reduces granularity of results. Model misspecification: incorrect choice between hurdle, Tobit, PPML can bias estimates when zeros and heteroskedasticity are present. Generalizability: results from Santander may not transfer to other regions with different logistics or trade partners. Computational cost: extensive seeded simulations with many scenarios and multiple imputations require substantial compute time. Legal/regulatory risk: cross‑border data sharing and DP parameters must satisfy local privacy laws, which may constrain releases.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