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precommitments_international_performance</w:t>
      </w:r>
    </w:p>
    <w:p>
      <w:r>
        <w:t xml:space="preserve"> </w:t>
      </w:r>
    </w:p>
    <w:p>
      <w:pPr>
        <w:pStyle w:val="Heading2"/>
      </w:pPr>
      <w:r>
        <w:t>Title</w:t>
      </w:r>
    </w:p>
    <w:p>
      <w:r>
        <w:t>Estimating the causal effect of firm pre-commitments on SME international performance using mixed causal inference and survey methods</w:t>
      </w:r>
    </w:p>
    <w:p>
      <w:r>
        <w:t xml:space="preserve"> </w:t>
      </w:r>
    </w:p>
    <w:p>
      <w:pPr>
        <w:pStyle w:val="Heading2"/>
      </w:pPr>
      <w:r>
        <w:t>Short Hypothesis</w:t>
      </w:r>
    </w:p>
    <w:p>
      <w:r>
        <w:t>Higher use of pre-commitments (financial sunk costs, exclusive contracts, equity stakes, or dedicated international hires) by SMEs causally increases international performance—measured as faster market entry, greater number/diversity of foreign markets, and higher market persistence—and this effect is stronger for firms with greater experiential learning.</w:t>
      </w:r>
    </w:p>
    <w:p>
      <w:r>
        <w:t xml:space="preserve"> </w:t>
      </w:r>
    </w:p>
    <w:p>
      <w:pPr>
        <w:pStyle w:val="Heading2"/>
      </w:pPr>
      <w:r>
        <w:t>Related Work</w:t>
      </w:r>
    </w:p>
    <w:p>
      <w:r>
        <w:t>Effectuation research highlights entrepreneur heuristics (pre-commitment, staging, affordable-loss) but most empirical work relies on cross-sectional surveys and correlational models that cannot rule out endogeneity or spillovers. Real-options literature models staged investments and abandonment but rarely tests how effectual pre-commitments interact with option-like staging in SMEs. Prior empirical studies commonly use PLS-SEM for latent constructs but face measurement validity and invariance limits, weak handling of time-varying confounding, network spillovers, and few-cluster inference. Causal-econometrics approaches (DiD, IV, TMLE) offer stronger identification but have been underapplied together with psychometric validation in SME internationalization studies. Existing mixed-methods work documents mechanisms qualitatively but often lacks pre-registered decision rules, simulation-based power justification, and archival validation of outcomes.</w:t>
      </w:r>
    </w:p>
    <w:p>
      <w:r>
        <w:t xml:space="preserve"> </w:t>
      </w:r>
    </w:p>
    <w:p>
      <w:pPr>
        <w:pStyle w:val="Heading2"/>
      </w:pPr>
      <w:r>
        <w:t>Abstract</w:t>
      </w:r>
    </w:p>
    <w:p>
      <w:r>
        <w:t>This study tests whether SME pre-commitments (sunk investment, exclusive contracts, equity ties, dedicated international hires) causally improve international performance in speed, scope, and survival, and whether experiential learning moderates these effects. We combine a multi-wave survey of 332 New Zealand SMEs with administrative archival linkage and a pre-registered analytical pipeline that integrates latent-variable SEM (PLS-SEM), targeted causal estimators (TMLE with SuperLearner), instrumental-variable analyses for encouragement designs, and partial-interference models for spillovers. We contribute by (1) formalizing estimands for direct and indirect (spillover) effects under partial interference, (2) validating measurement with psychometrics and archival artifacts, and (3) triangulating causal estimates across estimators and simulation-based power analyses. Expected outcomes are robust, reproducible estimates of the effect of pre-commitments on international outcomes, clear numeric decision rules for inference under few clusters or weak instruments, and practical guidance on when pre-commitments aid SME internationalization.</w:t>
      </w:r>
    </w:p>
    <w:p>
      <w:r>
        <w:t xml:space="preserve"> </w:t>
      </w:r>
    </w:p>
    <w:p>
      <w:pPr>
        <w:pStyle w:val="Heading2"/>
      </w:pPr>
      <w:r>
        <w:t>Experiments</w:t>
      </w:r>
    </w:p>
    <w:p>
      <w:r>
        <w:t>Datasets: primary: multi-wave survey of 332 New Zealand SMEs with firm geocoordinates, supplier/customer ties, and archival linkage (contracts, customs, financial proxies). Augment with simulated datasets (Monte Carlo) parameterized to match empirical attrition and network structure (2,000 replications per scenario). Outcomes: speed = time-to-first-export (months); scope = count of foreign markets (integer); survival = market persistence over 24 months (binary/time-to-event). Models and baselines: 1) PLS-SEM (latent constructs for pre-commitment, staging, affordable-loss, experiential learning) as main structural-path model; 2) CB-SEM (confirmatory) baseline; 3) OLS/GLM reduced-form with firm and industry×time fixed effects; 4) TMLE with SuperLearner (ensemble learners: glm, glmnet, ranger, xgboost, earth, mean) to estimate ATT adjusting time-varying confounders (TMLE is a targeted estimator that reduces bias using machine learning for nuisance parts); 5) IV 2SLS and IV-TMLE for encouragement designs (instrument diagnostics: first-stage F, partial R2); 6) Partial-interference estimators (Hudgens–Halloran style) and spatial DiD for spillover estimates. Evaluation metrics: SEM path coefficients (standardized), R2, AVE (average variance extracted), composite reliability, significance (p or bootstrap CI), TMLE ATT and CI, IV LATE and CI, Cox hazard ratios for time-to-event, Poisson/NegBin mean ratios for counts, spillover direct/indirect effect estimates. Experimental setup: preregister seeds and package versions, use cluster-wise cross-validation folds for SuperLearner, implement small-cluster inference tree (CR2 preferred; wild bootstrap Rademacher 5,000 reps; Webb when indicated), and report results under archived archival-match thresholds (≥70% firm-level, 50–69% aggregated). Ablations: A1 remove pre-commitment variables; A2 remove experiential-learning moderator; A3 use self-report outcomes only (no archival validation). Compare estimates across methods (PLS-SEM vs TMLE vs IV vs DiD) and report triangulation table with diagnostics and decision rule outcomes.</w:t>
      </w:r>
    </w:p>
    <w:p>
      <w:r>
        <w:t xml:space="preserve"> </w:t>
      </w:r>
    </w:p>
    <w:p>
      <w:pPr>
        <w:pStyle w:val="Heading2"/>
      </w:pPr>
      <w:r>
        <w:t>Risk Factors And Limitations</w:t>
      </w:r>
    </w:p>
    <w:p>
      <w:r>
        <w:t>1) Endogenous networks: firms may form ties in response to treatment, biasing spillover estimates; network lagging or instruments may fail. 2) Measurement error: self-reports and imperfect archival matches reduce validity; archival linkage &lt;50% forces pivots and limits firm-level claims. 3) Small cluster counts: few independent clusters reduce inference reliability and can inflate type I error. 4) Weak instruments: low first-stage F undermines LATE identification and requires bounds or reduced-form focus. 5) Attrition and MNAR: differential dropout over waves can bias longitudinal estimates. 6) Limited generalizability: sample from New Zealand SMEs may not generalize to other institutional contexts. 7) DP/synthetic data trade-offs: aggressive privacy (low epsilon) degrades utility for disclosure-limited sharing. 8) Computational cost: TMLE with large SuperLearner stacks and many bootstrap reps is compute-intensive. 9) Survival outcomes: censoring patterns complicate TMLE and Cox models if censoring is informative. 10) Psychometrics: cross-country invariance thresholds may be unattainable with small subgroup sizes, limiting comparisons.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