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dev_engagement_variable_code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causal repository-mining study using staggered difference-in-differences to measure developer engagement and expertise on preprocessor-guarded variable code in configurable software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developer workload on variable (preprocessor-guarded) code causally increases time-to-merge for their changes and causes conventional expertise metrics (e.g., commit counts, lines changed, code-ownership) to fail to identify those developers as experts in variable code.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measures developer expertise using simple proxies (commit counts, lines changed, code ownership) and analyzes adoption or policy effects with difference-in-differences (DiD) and event-study estimators. Other lines of work mine configurable systems or study variability engineering, but they rarely separate preprocessor-guarded "variable" code from mandatory code. Existing causal methods for staggered adoption (TWFE, Sun–Abraham, Callaway–Sant’Anna) address some timing biases but studies often omit measurement-error propagation when labels are extracted by parsers. Repository-mining pipelines that extract presence-conditions and variability information face parser failures (macros, autogenerated code) and often lack goldsets or cross-repo validation. Limitations therefore include: (1) coarse expertise proxies that do not target variable-code skills, (2) inadequate measurement-error handling for parser-derived labels, (3) insufficient pre-registration of estimators, clustering, and small-sample SE methods, and (4) weak privacy and reproducibility protocols for linking longitudinal contributors.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Configurable software systems commonly contain code that is conditionally compiled or activated via preprocessor directives; this variable code can impose distinct maintenance burdens and require specialized expertise. We propose a large-scale, causal repository-mining study that compares developer engagement and measured expertise on variable versus mandatory code. We will extract presence-conditions and classify commits across 25 configurable-system projects, construct labeled goldsets, and pre-register staggered DiD estimators (Callaway–Sant’Anna as primary) and IV strategies based on large refactor shocks and policy adoptions. The main contributions are: (1) a reproducible pipeline for identifying variable-code edits with validated parser goldsets; (2) pre-registered causal estimators and falsification tests that account for clustering and measurement error; and (3) empirical evidence on whether common expertise metrics identify variable-code specialists. Expected outcomes include precise estimates of engagement differences, quantified measurement-error adjustments, and an artifact bundle with seeds, notebooks, goldsets, and privacy-preserving release tiers to enable auditability.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25 preselected configurable software system (CSS) repositories across languages (C/C++, Rust, Go, Java, Python, JS/TS, Shell) and build systems; pilot set of 5 representative repos for benchmarking. Use full commit histories, PR metadata, CI job matrices, and CODEOWNERS files where present. Goldsets and labeling: per-major-label pilot goldsets target 300–400 positive examples; full study &gt;=500 positives/class. Labeling schema: variable-commit (preprocessor-guarded change), non-variable commit, presence-condition spans, owner assignment. Parser validation: measure precision, recall, F1 per format on goldsets; require precision&gt;=0.90 and recall&gt;=0.85 to include parser-derived labels. Baselines: standard expertise metrics (total commits, lines changed, fraction of files touched, CODEOWNERS ownership fraction), naive variable-detection (regex), and an oracle goldset classifier. Causal estimators: primary = Callaway–Sant’Anna (CSA) group-time ATT (CSA handles staggered adoption); robustness = Sun–Abraham, TWFE (two-way fixed effects). IV strategy: use large refactor shocks as instrument for short-term variable-code disruption (first-stage F&gt;10 required). Evaluation metrics: outcome metrics = time-to-merge (hours), fraction of PRs reviewed by owners, CI coverage per PR, 90-day contributor retention; inferential metrics = ATT estimates with repo-clustered SEs, two-way clustering (repo × week) as sensitivity, wild-cluster bootstrap for small cluster counts. Measurement-error evaluation: compute confusion matrices stratified by repo/language, Cohen's kappa, calibration plots (reliability diagram), Brier score; propagate error via multiple-imputation using empirical confusion matrices and a hierarchical Bayesian measurement-error model (priors pre-specified: prevalence Beta(2,2); repo log-odds ~ Normal(0,σ_repo), σ_repo ~ half-Cauchy(0,1)). Power and MDE: simulate minimum detectable effects (MDE) under repo-level clustering with intraclass correlation estimates from pilots; report MDEs for n_repos and average cluster sizes and justify &gt;=5% major-label threshold. Cross-validation: repo-folded CV (holdout by repo) to avoid leakage. Ablations: (A) unadjusted vs measurement-error adjusted ATT; (B) CSA vs Sun–Abraham vs TWFE; (C) primary parser vs fallback heuristics; (D) IV inclusion vs omitted. Reproducibility: publish deterministic seeds, container images, notebooks, and a redacted/synthetic public dataset; assign owners and deadlines for goldsets, parser logs, estimator code, and privacy escrow artifacts. Git attribution/timestamp rules (deterministic): canonical event = PR merge timestamp into default branch; fallback = host-recorded commit time; if fork/merge semantics ambiguous, attribute to upstream when commit appears in upstream default branch, otherwise to fork; tie-break by repo slug, PR number, commit SHA.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Parser failures: macros, autogenerated code, or uncommon idioms may reduce label quality and bias estimates. Measurement error: differential misclassification between treatment groups could bias ATT; hierarchical correction may rely on prior choices. IV validity: refactor shocks may violate exclusion restriction if they affect outcomes via other channels. Interference/spillover: contributors working across repos or teams can violate SUTVA (no interference). Small-sample inference: few treated clusters or small repo counts may undermine standard SEs; wild-cluster bootstrap may still fail. Privacy and linkage risk: pseudonymization and salts enable longitudinal linking but retain residual re-identification risk. Resource limits: presence-condition extraction is computationally heavy (CPU-hours/KLOC) and may limit scale. External validity: results from preprocessor-based CSS may not generalize to feature-flag or runtime-configured systems. Git history complexity: forks, backports, cherry-picks, and mirrors can create ambiguous attribution and timing that alter event assignment. Goldset bias: curator choices and class imbalance can affect classifier calibration and downstream causal adjustments.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