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cgo_usage_empirical_study</w:t>
      </w:r>
    </w:p>
    <w:p>
      <w:r>
        <w:t xml:space="preserve"> </w:t>
      </w:r>
    </w:p>
    <w:p>
      <w:pPr>
        <w:pStyle w:val="Heading2"/>
      </w:pPr>
      <w:r>
        <w:t>Title</w:t>
      </w:r>
    </w:p>
    <w:p>
      <w:r>
        <w:t>An empirical study using automated static and dynamic analysis to characterize cgo (Go foreign-function interface) usage patterns, purposes, and risks in open-source Go projects</w:t>
      </w:r>
    </w:p>
    <w:p>
      <w:r>
        <w:t xml:space="preserve"> </w:t>
      </w:r>
    </w:p>
    <w:p>
      <w:pPr>
        <w:pStyle w:val="Heading2"/>
      </w:pPr>
      <w:r>
        <w:t>Short Hypothesis</w:t>
      </w:r>
    </w:p>
    <w:p>
      <w:r>
        <w:t>Go repositories that include vendored native C source files are more likely to require direct cgo usage at build or runtime (i.e., be classified as direct rather than transitive) than repositories without vendored native C sources.</w:t>
      </w:r>
    </w:p>
    <w:p>
      <w:r>
        <w:t xml:space="preserve"> </w:t>
      </w:r>
    </w:p>
    <w:p>
      <w:pPr>
        <w:pStyle w:val="Heading2"/>
      </w:pPr>
      <w:r>
        <w:t>Related Work</w:t>
      </w:r>
    </w:p>
    <w:p>
      <w:r>
        <w:t>Prior work has measured cgo usage at scale and reported that a minority of Go projects use cgo and that usage is concentrated in selected projects. Existing approaches typically rely on simple static heuristics such as scanning for import "C", linker flags, or presence of C source files. Limitations of prior methods include: weak handling of inactive build paths (build tags), poor treatment of generated bindings (tools like SWIG), limited calibration against actual builds or runtime evidence, scarce synthetic controls for detector validation, and incomplete CVE / native-library mapping procedures. Existing studies also seldom correct prevalence estimates for detector misclassification or publish reproducible calibration and Monte‑Carlo priors. These gaps reduce confidence in prevalence estimates and inferences about causes and risks of cgo usage.</w:t>
      </w:r>
    </w:p>
    <w:p>
      <w:r>
        <w:t xml:space="preserve"> </w:t>
      </w:r>
    </w:p>
    <w:p>
      <w:pPr>
        <w:pStyle w:val="Heading2"/>
      </w:pPr>
      <w:r>
        <w:t>Abstract</w:t>
      </w:r>
    </w:p>
    <w:p>
      <w:r>
        <w:t>We present a reproducible empirical study that measures how and why Go projects use cgo, the Go foreign-function interface (FFI) that allows Go code to call native C libraries. We build cgoanalyzer, an automated tool that extracts atomic evidence signals (e.g., import "C", linker flags, header flags, generated markers, vendored C, CI native installs, runtime binary evidence) and applies a pre-registered taxonomy to assign mutually exclusive primary labels (test-only, generated-binding, direct, link-only, header-only, runtime-only, transitive, ci-only, none). We calibrate static detectors against dynamic builds and runtime tests on a held-out validation set, publish calibration curves and confusion matrices, and perform Monte‑Carlo sensitivity analyses that account for misclassification. We also curate synthetic controls and a CVE mapping audit to measure vulnerability exposure. The main contribution is a validated, machine-checkable pipeline and dataset that quantify cgo distribution, purposes, unsafe idioms, and prevalence-corrected estimates, enabling reproducible insights and actionable guidance for developers and the Go project.</w:t>
      </w:r>
    </w:p>
    <w:p>
      <w:r>
        <w:t xml:space="preserve"> </w:t>
      </w:r>
    </w:p>
    <w:p>
      <w:pPr>
        <w:pStyle w:val="Heading2"/>
      </w:pPr>
      <w:r>
        <w:t>Experiments</w:t>
      </w:r>
    </w:p>
    <w:p>
      <w:r>
        <w:t>Datasets: 1) Mining frame: ~3,000 public GitHub Go repositories stratified by star tier, recent activity, and module maturity; 2) Gold labeled corpus: 1,200 human-labeled repositories (800 stratified + 300 targeted edge cases + 100 synthetic controls); 3) Dynamic validation set: 300 stratified repositories for containerized builds and runtime tests; 4) Synthetic controls: 100 generated repositories with seeded mutation logs; 5) CVE audit: ~500 mapping cases across Debian/Ubuntu/Fedora/Alpine for common native libs (OpenSSL, SQLite, zlib). Baselines: A) naive static heuristic: presence of import "C" in any file; B) linker-flag detection only; C) prior published heuristics lacking calibration. Evaluation metrics: per-label precision, recall, F1; Cohen's kappa for annotator agreement; Brier score and reliability diagrams for calibration (reliability diagram = plot of predicted vs observed probabilities); confusion matrices; prevalence-corrected estimates via Monte‑Carlo (Beta priors for prevalences, Dirichlet draws for misclassification matrices). Setup: Train static detectors on 80% of gold corpus, validate on 20% with 5-fold cross-validation; calibrate probabilities using isotonic regression; acceptance thresholds: primary labels precision &gt;= 0.90 and recall &gt;= 0.85; secondary labels precision &gt;= 0.85. Dynamic experiments: run containerized builds in pinned environments (Ubuntu glibc, Alpine musl) for GOOS/GOARCH linux/amd64 and linux/arm64 and Go versions = module go directive +1/+2 minors; gate CGO_ENABLED=1 builds by explicit static-signal rules (import "C" in non-test files, presence of .c/.h in package directories, // #cgo LDFLAGS or pkg-config in preambles). Ablation studies: (1) remove vendored_native signal from detector to measure label shifts; (2) remove dynamic calibration and compare prevalence estimates; (3) vary gating rules (strict vs permissive) and measure effect on build coverage and label accuracy. Monte‑Carlo robustness: sample misclassification matrices from Dirichlet distributions centered on calibration results, sweep sensitivity with detector sens/spec in [0.60,0.95], and report posterior intervals for true prevalences.</w:t>
      </w:r>
    </w:p>
    <w:p>
      <w:r>
        <w:t xml:space="preserve"> </w:t>
      </w:r>
    </w:p>
    <w:p>
      <w:pPr>
        <w:pStyle w:val="Heading2"/>
      </w:pPr>
      <w:r>
        <w:t>Risk Factors And Limitations</w:t>
      </w:r>
    </w:p>
    <w:p>
      <w:r>
        <w:t>Sampling assumptions: public GitHub sample may not represent private or corporate repositories; post-stratification (raking) requires reliable auxiliary margins and margin uncertainty will widen final CIs. Private modules and replace directives: unresolved private modules produce transitive_unknown labels and limit traceability. Build flakiness: containerized builds can be nondeterministic; repositories with &gt;50% intermittent failures (after retries) will be excluded from dynamic calibration, which may bias calibration if flaky repos are systematically different. Misclassification: imperfect detectors produce biased prevalence estimates; correction depends on accurate misclassification matrices estimated from labeled holdouts. Synthetic-data leakage: generators must avoid copying real code; leakage would inflate apparent performance. CVE/SONAME mapping ambiguity: -l/-L/pkg-config to distro-package mapping is noisy and confidence scores can be low, limiting vulnerability linkage precision. Compute and cost limits: dynamic builds and calibration require nontrivial CPU and storage resources at scale. Annotation variability: human labeling may not reach kappa targets, reducing gold label reliability. Legal and licensing constraints: private-source retention, license checks, and redistribution rules constrain dataset publishing. Generalization limits: results apply to the sampled public ecosystem and pinned toolchains; behavior may differ on other OS/arch or private codebases.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