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agentarceval_arch_eval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AgentArcEval: a scenario-driven evaluation method for assessing architectures of foundation-model-based agents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 controlled, multi-step tasks, agents using a modular Planner–Executor architecture with retrieval-based grounding and structured JSON interfaces achieve higher binary task-success rates than Monolithic LLM agents when evaluated with the same seeds and task distribution.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evaluates foundation-model agents by measuring end-to-end task accuracy, tool use, hallucination rates, or verifier performance. Common architectures studied include single-model (monolithic) agents, planner–executor splits, and multi-agent message-passing systems. Prior evaluation methods focus on single tasks, model-centric benchmarks, or ad hoc adversarial examples. Limitations: (1) most evaluations do not isolate architectural variables (modularity, grounding, interface) in a controlled factorial design; (2) nondeterministic behavior from seeds, hardware, and libraries is often unmeasured, reducing reproducibility; (3) citation and claim-matching methods lack domain-calibrated thresholds and uncertainty estimates; (4) adversarial coverage is typically small and not tiered by corruption level; (5) statistical plans rarely pre-register adaptive stopping or hierarchical models tailored to agent architectures. These gaps prevent clear causal claims about how architecture choices affect safety, reliability, and task success.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AgentArcEval, a purpose-built evaluation method for comparing architectures of foundation-model-based agents. The problem is that different agent architectures (monolithic LLM, Planner–Executor, Multi‑Agent) produce different behaviors across autonomy, non-determinism, and continuous evolution, yet existing evaluations do not systematically compare architectures under controlled scenarios. AgentArcEval combines a catalogue of general agent scenarios with a factorial experimental design, a calibrated citation-matching pipeline, a failure-mode taxonomy, an adversarial verifier bank, and a pre-registered Bayesian hierarchical analysis plan. The main contribution is an auditable, scenario-driven protocol that measures primary binary task success plus secondary outcomes (claim-level hallucination, tool-misuse, latency, verifier rejects) while accounting for seeds, tasks, and cross-task variability. Expected outcomes include calibrated thresholds for citation matching, operating characteristics for adaptive stopping, per-architecture performance decompositions, and reproducible artifacts that support gated data release and human-subject safety analyses. AgentArcEval yields actionable comparisons of architecture choices under realistic and adversarial conditions.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Multi-domain scenario catalogue of task families: web research (N=400 tasks), sandboxed code synthesis (N=300 tasks), hierarchical planning (N=200 tasks), multimodal decision tasks (N=200 tasks). (2) Adversarial verifier bank (initial N=1000; Tier0:150, Tier1:300, Tier2:300, Tier3:250). (3) Calibration sets: 2,000 labeled claim–source pairs per domain for SBERT/NLI thresholding. Baselines: Monolithic LLM (single LLM handles planning/grounding/execution); Planner–Executor (separate planner outputs structured JSON; executor enforces tool contracts); Multi‑Agent (specialized planner, executors, verifiers via message bus). Variations: Grounding {parametric, retrieval}; Interface {free-text, structured JSON}; Verifier strictness {low, medium, high}; Stochasticity (temperature ∈ {0,0.2,0.8}). Evaluation metrics: Primary: binary task success (automated checklist PASS/FAIL). Secondary: claim-level hallucination rate (fraction of claims labeled FALSE or MISLEADING), tool-misuse rate per call, latency (ms), verifier reject rate, citation-matching precision/recall, adversarial AUC and Brier score per tier, inter-annotator Cohen’s kappa. Experimental setup: factorial design crossing Architecture (3) × Grounding (2) × Interface (2) with minimum 5 independent RNG seeds per cell and 100 tasks per cell (Stage‑1 target N per cell = seeds × tasks). Statistical model: Bayesian hierarchical logistic mixed-effects with fixed effects for Architecture, Grounding, Interface and interactions; random intercepts for TaskFamily, TaskInstance, RunSeed; priors: fixed effects ~ Normal(0,1.5), intercept ~ Normal(logit(0.5),1), group SDs ~ half-Cauchy(0,1). Adaptive analysis: interim at 25% and 50% with rules: stop for efficacy if Pr(effect&gt;0)≥0.975 and OR&gt;1.2; stop for futility if Pr(|effect|&lt;0.05)≥0.95; stop for precision if 95% CI width &lt;0.05. Ablations and comparisons: (A) UNNECESSARY_CALL ablation: remove suspect tool calls deterministically and measure change in task success; (B) Verifier strictness sweep: compare low/med/high verifier thresholds; (C) Reproducibility matrix: run identical-seed replays (≥200 tasks) across hardware × library × precision (FP32/FP16/quantized) and report exact-token and semantic reproducibility. Reporting: posterior means, 95% credible intervals, odds ratios, per-tier adversarial ROC/Brier, and calibration CIs for SBERT/NLI thresholds.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nondeterminism: results may vary across hardware, cuDNN versions, async kernels, mixed-precision, or JIT caching; these cause replay mismatches and affect reproducibility. Hallucination detection limits: citation-matching (SBERT/NLI) may fail on paraphrases or domain shifts, producing false negatives/positives. Failure_map feasibility: collecting majors n≥500 per task family may be infeasible for rare codes, forcing aggregated analyses and borrowing across families. Adversarial coverage: a 1k+ bank may still miss rare, real-world attack patterns; synthetic adversaries may not reflect human adversary creativity. Compute and cost: factorial design with multiple seeds and cross-cloud reproducibility tests requires large compute and budget, limiting scale. Human-subjects constraints: recruitment quotas, IRB approval, and ethical harms may limit sample sizes and tasks usable for live pilots. Statistical sensitivity: posterior inferences depend on prior choices and variance misspecification; adaptive reallocation rules can inflate Type I error if not fully calibrated. Generalization limits: conclusions may not transfer to other model families, larger/smaller model sizes, or unseen task families.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