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moma_ac</w:t>
      </w:r>
    </w:p>
    <w:p>
      <w:r>
        <w:t xml:space="preserve"> </w:t>
      </w:r>
    </w:p>
    <w:p>
      <w:pPr>
        <w:pStyle w:val="Heading2"/>
      </w:pPr>
      <w:r>
        <w:t>Title</w:t>
      </w:r>
    </w:p>
    <w:p>
      <w:r>
        <w:t>A preference-conditioned actor-critic framework for continuous multi-objective multi-agent reinforcement learning</w:t>
      </w:r>
    </w:p>
    <w:p>
      <w:r>
        <w:t xml:space="preserve"> </w:t>
      </w:r>
    </w:p>
    <w:p>
      <w:pPr>
        <w:pStyle w:val="Heading2"/>
      </w:pPr>
      <w:r>
        <w:t>Short Hypothesis</w:t>
      </w:r>
    </w:p>
    <w:p>
      <w:r>
        <w:t>Conditioning a multi-headed actor and a centralized critic on a continuous objective preference vector phi enables a single policy per agent to represent Pareto-optimal trade-offs so that, for a fixed total sample budget, adaptive preference sampling with MOMA-AC yields higher hypervolume than training separate policies per preference using standard TD3/DDPG.</w:t>
      </w:r>
    </w:p>
    <w:p>
      <w:r>
        <w:t xml:space="preserve"> </w:t>
      </w:r>
    </w:p>
    <w:p>
      <w:pPr>
        <w:pStyle w:val="Heading2"/>
      </w:pPr>
      <w:r>
        <w:t>Related Work</w:t>
      </w:r>
    </w:p>
    <w:p>
      <w:r>
        <w:t>Existing approaches to multi-objective reinforcement learning (MORL) include per-preference training (train one policy per scalarization), preference-conditioned policies, and scalarization-based single-objective reductions (weighted sum, Tchebychev). In multi-agent RL the common paradigm is centralized training with decentralized execution (CTDE) and critic-based methods such as DDPG and TD3. Prior preference-conditioned methods often handle discrete preferences or low-dimensional objectives and lack rigorous finite-sample guarantees. Per-preference training is simple but scales poorly with the number of preferences. Scalarization-alone approaches can miss parts of the Pareto front when objectives conflict. Decentralized critics with gossip reduce communication but introduce consensus bias and non-stationarity that are rarely quantified. Neural network critics provide flexibility but their theoretical guarantees (e.g., NTK/linearization) are local and not routinely diagnosed. Open limitations: scalability to continuous multi-agent control, representation of full Pareto front within one policy, finite-sample bounds linking critic error to actor bias, principled adaptive preference sampling at scale, and operational diagnostics for NTK/local-linearity and mixing.</w:t>
      </w:r>
    </w:p>
    <w:p>
      <w:r>
        <w:t xml:space="preserve"> </w:t>
      </w:r>
    </w:p>
    <w:p>
      <w:pPr>
        <w:pStyle w:val="Heading2"/>
      </w:pPr>
      <w:r>
        <w:t>Abstract</w:t>
      </w:r>
    </w:p>
    <w:p>
      <w:r>
        <w:t>We present MOMA-AC, a preference-conditioned actor-critic framework for continuous multi-objective multi-agent reinforcement learning. The framework uses a multi-headed actor per agent and a centralized critic that are both conditioned on a continuous preference vector phi, so a single neural policy can encode a family of trade-off behaviors that approximate the Pareto front. MOMA-AC is instantiated with TD3 and DDPG style updates, integrates preference-aware advantage estimation, and supports both centralized and gossip-based decentralized critic variants. Main contributions are: (1) an algorithmic design that represents Pareto-optimal policies within one network per agent, (2) explicit finite-sample TD bounds that map critic error to actor gradient bias with stated constants, and (3) a practical evaluation suite including adaptive preference sampling (hybrid EHVI) and diagnostics for mixing, NTK/local-linearity, and consensus bias. Expected outcome: for continuous control tasks with multiple agents and objectives, MOMA-AC should increase sample efficiency for Pareto coverage and provide reproducible diagnostics that connect theory to empirical failures.</w:t>
      </w:r>
    </w:p>
    <w:p>
      <w:r>
        <w:t xml:space="preserve"> </w:t>
      </w:r>
    </w:p>
    <w:p>
      <w:pPr>
        <w:pStyle w:val="Heading2"/>
      </w:pPr>
      <w:r>
        <w:t>Experiments</w:t>
      </w:r>
    </w:p>
    <w:p>
      <w:r>
        <w:t>Datasets and environments: (A) Analytic LQG multi-agent multi-objective environment with known Pareto set (toy analytic benchmark). (B) Two-agent continuous point-mass toy with two objectives (fast low-cost sanity tests). (C) Multi-agent MuJoCo variants (4 agents) modified to produce 2-4 conflicting objectives (e.g., energy, speed, collision penalty). Training budget: 1e6 environment steps per run for MuJoCo; 2e5 steps for toy and LQG. Baselines: (1) per-preference TD3/DDPG (train separate policy per preference grid). (2) single-headed preference-conditioned actor (concatenate phi). (3) MOMA-AC multi-headed actor + centralized critic (TD3/DDPG instantiations). (4) decentralized critic variants with K-round gossip (K in {1,5,10}). Preference sampling: uniform sampling over simplex; hybrid adaptive sampling 70% uniform + 30% Monte-Carlo EHVI with S=500 samples; Dirichlet prior alpha in {0.5,1.0,2.0}. Ablations: multi-headed vs single-headed; FiLM conditioning vs concatenation; centralized vs gossip critic; freeze vs trainable feature layers; last-layer linearization vs full train; λ_reg ∈ {1e-4,1e-3,1e-2}; timescale exponents (critic, actor, phi) = (0.51,0.75,0.95) vs alternative schedules. Diagnostics and metrics: hypervolume (higher is better), preference regret (expected gap under sampled phi), generational distance, Pareto coverage fraction, Bellman residual norm, actor gradient error norm, effective sample size (ESS), Markov chain spectral gap estimate, λ_min(A) estimate, wall-clock runtime and max VRAM. Statistical setup: 12 seeds per configuration, nonparametric pairwise tests (Wilcoxon signed-rank) with effect sizes, report 95% confidence intervals and multiple-comparison correction (Holm). Acceptance criteria: increase in hypervolume with p&lt;0.05 and medium effect size compared to best baseline. Implementation details: actor lr 1e-4, critic lr 1e-3, batch size 256, target smoothing and delays per TD3 defaults, Nyström block sizes {500,1000} tested for mixing estimators. Logging: continuous traces of metrics and diagnostic CI windows (window length 1e4 steps).</w:t>
      </w:r>
    </w:p>
    <w:p>
      <w:r>
        <w:t xml:space="preserve"> </w:t>
      </w:r>
    </w:p>
    <w:p>
      <w:pPr>
        <w:pStyle w:val="Heading2"/>
      </w:pPr>
      <w:r>
        <w:t>Risk Factors And Limitations</w:t>
      </w:r>
    </w:p>
    <w:p>
      <w:r>
        <w:t>Theoretical assumption mismatch: finite-sample bounds assume linear-in-parameter critic or local NTK-like linearity, and uniform geometric ergodicity; these may fail in large-scale NN critics or non-ergodic environments. Non-stationarity: actor or feature drift can break critic convergence and produce biased policies in decentralized setups. Consensus and communication: gossip-based critics introduce consensus bias that grows with condition number and poor spectral gap; real networks may have lower connectivity than assumed. Preference identifiability: with noisy or sparse preference labels, phi may be weakly identified, producing suboptimal conditioning. Computational cost: adaptive EHVI (S≈500) and Nyström eigencomputations are expensive in wall-clock time and memory at large M or many agents. Scalability limits: representing rich Pareto fronts for many objectives (≫4) or many agents (≫16) may require impractical sample budgets. Evaluation bias: approximate Pareto fronts used for reference may misestimate true optimality, biasing hypervolume and regret estimates. Failure modes include NTK breakdown (feature drift), low ESS or small spectral gap triggering unreliable estimates, and optimizer instability when λ_min(A) is near zero.</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