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coverforest_conformal_rf</w:t>
      </w:r>
    </w:p>
    <w:p>
      <w:r>
        <w:t xml:space="preserve"> </w:t>
      </w:r>
    </w:p>
    <w:p>
      <w:pPr>
        <w:pStyle w:val="Heading2"/>
      </w:pPr>
      <w:r>
        <w:t>Title</w:t>
      </w:r>
    </w:p>
    <w:p>
      <w:r>
        <w:t>Conformal prediction using optimized random forests for efficient uncertainty quantification in regression and classification</w:t>
      </w:r>
    </w:p>
    <w:p>
      <w:r>
        <w:t xml:space="preserve"> </w:t>
      </w:r>
    </w:p>
    <w:p>
      <w:pPr>
        <w:pStyle w:val="Heading2"/>
      </w:pPr>
      <w:r>
        <w:t>Short Hypothesis</w:t>
      </w:r>
    </w:p>
    <w:p>
      <w:r>
        <w:t>Using accelerated out-of-bag score computation with normalized, clipped importance weights yields conformal prediction sets whose empirical marginal coverage deviates from the nominal level by at most 0.05 when effective sample size (ESS) ≥ 200 and the L1 bias of normalized weights (Bias_w) ≤ 0.02.</w:t>
      </w:r>
    </w:p>
    <w:p>
      <w:r>
        <w:t xml:space="preserve"> </w:t>
      </w:r>
    </w:p>
    <w:p>
      <w:pPr>
        <w:pStyle w:val="Heading2"/>
      </w:pPr>
      <w:r>
        <w:t>Related Work</w:t>
      </w:r>
    </w:p>
    <w:p>
      <w:r>
        <w:t>Existing approaches provide distribution-free predictive intervals or sets via split conformal, cross‑validation conformal (CV+), jackknife+ variants, and Mondrian (partitioned) conformal methods. Random-forest based conformal methods exploit tree ensembles and out-of-bag (OOB) scores to avoid retraining, but prior work often suffers from high computational cost for per-instance OOB score aggregation, limited diagnostics for weight estimation under covariate shift, and heuristic Mondrian cell merging that can break reproducibility. Weighted conformal approaches use density-ratio weights estimated by classifiers or direct estimators (e.g., uLSIF) to handle covariate shift, but they can produce heavy-tailed weights, low effective sample size (ESS), and no standard bias proxies. Bootstrap and jackknife methods improve variance estimation but can be expensive or invalid under dependence. In short, existing methods either lack computational scalability, robust diagnostics for weight bias/ESS, deterministic mapping for Mondrian merges, or clear finite-sample coverage corrections.</w:t>
      </w:r>
    </w:p>
    <w:p>
      <w:r>
        <w:t xml:space="preserve"> </w:t>
      </w:r>
    </w:p>
    <w:p>
      <w:pPr>
        <w:pStyle w:val="Heading2"/>
      </w:pPr>
      <w:r>
        <w:t>Abstract</w:t>
      </w:r>
    </w:p>
    <w:p>
      <w:r>
        <w:t>We address accurate, practical uncertainty quantification for regression and classification using conformal prediction with random forests. Conformal prediction provides prediction sets with coverage guarantees that do not rely on distributional assumptions. We propose a cohesive approach that leverages optimized random-forest components and accelerated out-of-bag (OOB) score aggregation to enable split-conformal, CV+, jackknife+-after-bootstrap, weighted conformal, and adaptive prediction sets at scale. Key elements include normalized importance weights for covariate shift correction, simple diagnostics centered on effective sample size (ESS) and a computable bias proxy (Bias_w), deterministic mappings from test inputs to Mondrian (leaf-signature) cells with conservative fallbacks, and clear defaults for weight truncation. The main contributions are (1) a practical finite-sample coverage decomposition that separates weight bias, sampling error (as a function of ESS), and leakage, (2) reproducible deterministic cell assignment rules, and (3) an evaluation plan and diagnostics suite to detect and report failure modes. Expected outcome: a usable toolset that delivers near-nominal coverage in realistic settings while making failure modes transparent to users.</w:t>
      </w:r>
    </w:p>
    <w:p>
      <w:r>
        <w:t xml:space="preserve"> </w:t>
      </w:r>
    </w:p>
    <w:p>
      <w:pPr>
        <w:pStyle w:val="Heading2"/>
      </w:pPr>
      <w:r>
        <w:t>Experiments</w:t>
      </w:r>
    </w:p>
    <w:p>
      <w:r>
        <w:t>Datasets: (A) Synthetic controlled generators: 1) heteroskedastic regression with σ(x) varying by orders of magnitude; 2) covariate shift: train X~N(0,I), test X~N(μ_shift,Σ_shift); 3) label shift: P(Y|X) unchanged but class priors differ; 4) temporal drift: piecewise distribution change with block dependence (AR(1) within blocks); 5) rare-signature clusters: small test clusters with unseen leaf signatures; 6) heavy-tailed importance weights. (B) Real tabular tasks: at least two regression and two classification datasets with different n and d (small/medium/large). Baselines: 1) standard split conformal with scikit-learn RandomForest; 2) CV+ conformal; 3) jackknife+/jackknife+-after-bootstrap; 4) weighted conformal using classifier-based density ratio; 5) weighted conformal using uLSIF. Variants to compare/ablate: (i) weight estimator: classifier vs uLSIF; (ii) truncation policy: no clipping vs adaptive cap to reach ESS target vs fixed 99th percentile; (iii) deterministic nearest-signature assignment vs pooled fallback; (iv) honest vs non-honest forest (OOB enforcement). Evaluation metrics: marginal coverage (empirical fraction of Y in set) with Clopper-Pearson CI, per-cell coverage with Wilson CI (report only for cells with n_cal≥min_cal_per_cell), mean and median interval/ set size, ESS pre/post truncation, fraction_truncated, bootstrap B=500 CI for weighted quantile, bias proxy b̂ and its bootstrap CI, two-sample classifier AUC between calibration and test X, and runtime/memory (peak RAM and wall-clock). Experimental setup: fixed seeds, 5 independent seeds per scenario, train/cal/test splits with explicit calibration set sizes n_cal∈{500,2000,5000}, number of trees T∈{100,500}, min_cal_per_cell∈{20,40,80}; report aggregated metrics across seeds. Ablation studies: (1) compare coverage and width when ESS≥200 vs ESS&lt;100; (2) compare Bias_w correction applied vs not applied; (3) compare merging metrics (Euclidean centroid vs PCA-reduced centroid vs signature Hamming) on high-d data; (4) compare bootstrap variants: unit resampling vs weighted (Bayesian) vs block bootstrap for temporal data. Success criteria: empirical marginal coverage within ±0.02 of nominal for ESS≥200 and stable per-cell coverage when n_cal≥min_cal_per_cell.</w:t>
      </w:r>
    </w:p>
    <w:p>
      <w:r>
        <w:t xml:space="preserve"> </w:t>
      </w:r>
    </w:p>
    <w:p>
      <w:pPr>
        <w:pStyle w:val="Heading2"/>
      </w:pPr>
      <w:r>
        <w:t>Risk Factors And Limitations</w:t>
      </w:r>
    </w:p>
    <w:p>
      <w:r>
        <w:t>Technical failure modes: heavy-tailed or highly concentrated importance weights can yield very low ESS, invalidating sampling error bounds; the Bias_w proxy (cross-fit difference) may under- or over-estimate true L1 weight error under model misspecification or when normalization factors differ across folds. Data/evaluation biases: violation of exchangeability (e.g., temporal drift) can break coverage unless blocked methods are used. Scalability and memory: leaf-signature storage scales O(n·T) (store T leaf ids per instance); large n and T can exceed memory and slow merges. Deterministic merging limits: nearest-signature assignment can still introduce dependence if signature-to-cell rules correlate with labels, producing additional Leak not fully captured by π(τ). Bootstrap limits: standard unit bootstrap can fail under block dependence; block bootstrap requires careful block-length selection and may be conservative. Honesty enforcement risk: practical random-forest heuristics or incorrect OOB bookkeeping can leak labels into calibration, invalidating guarantees. Generalization limits: per-cell coverage guarantees require sufficient calibration mass per cell; many tiny Mondrian cells with small n_cal cannot support valid cellwise coverage and require pooled fallbacks, reducing conditional guarantees.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