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virtual_coda_wave_ssda</w:t>
      </w:r>
    </w:p>
    <w:p>
      <w:r>
        <w:t xml:space="preserve"> </w:t>
      </w:r>
    </w:p>
    <w:p>
      <w:pPr>
        <w:pStyle w:val="Heading2"/>
      </w:pPr>
      <w:r>
        <w:t>Title</w:t>
      </w:r>
    </w:p>
    <w:p>
      <w:r>
        <w:t>A self-supervised domain adaptation framework combining virtual coda-wave simulation and adversarial/contrastive learning for concrete damage classification</w:t>
      </w:r>
    </w:p>
    <w:p>
      <w:r>
        <w:t xml:space="preserve"> </w:t>
      </w:r>
    </w:p>
    <w:p>
      <w:pPr>
        <w:pStyle w:val="Heading2"/>
      </w:pPr>
      <w:r>
        <w:t>Short Hypothesis</w:t>
      </w:r>
    </w:p>
    <w:p>
      <w:r>
        <w:t>Pretraining on large-scale labeled synthetic coda-wave data and adapting with self-supervised domain adversarial training plus minimum class confusion loss and BYOL will increase classification accuracy on unlabeled experimental concrete measurements by at least 10 percentage points compared to a model trained only on synthetic data.</w:t>
      </w:r>
    </w:p>
    <w:p>
      <w:r>
        <w:t xml:space="preserve"> </w:t>
      </w:r>
    </w:p>
    <w:p>
      <w:pPr>
        <w:pStyle w:val="Heading2"/>
      </w:pPr>
      <w:r>
        <w:t>Related Work</w:t>
      </w:r>
    </w:p>
    <w:p>
      <w:r>
        <w:t>Prior approaches include: (1) training classifiers on synthetic ultrasonic or wave-propagation simulations and applying them to lab data, (2) domain adaptation methods such as domain-adversarial training that align source and target feature distributions, and (3) self-supervised representation learning methods (for example, contrastive or bootstrapped methods like BYOL) to learn features from unlabeled data. Limitations in these approaches are: heavy dependence on labeled experimental data for fine-tuning, risk of negative transfer when simulation realism is limited, insufficient coupling of physics-based surrogate fidelity checks to downstream performance, limited use of self-supervision together with adversarial alignment, weak calibration and uncertainty reporting under domain shift, and sparse reproducibility artifacts (containerization, pinned seeds, dataset cards). Existing pipelines often do not quantify surrogate error in physics metrics (e.g., spectral RMS or wavefield L2) nor map those errors to classifier risk thresholds.</w:t>
      </w:r>
    </w:p>
    <w:p>
      <w:r>
        <w:t xml:space="preserve"> </w:t>
      </w:r>
    </w:p>
    <w:p>
      <w:pPr>
        <w:pStyle w:val="Heading2"/>
      </w:pPr>
      <w:r>
        <w:t>Abstract</w:t>
      </w:r>
    </w:p>
    <w:p>
      <w:r>
        <w:t>This work addresses reliable concrete damage classification when only labeled simulated coda-wave (long-path ultrasonic) data and unlabeled experimental measurements are available. We propose a self-supervised domain adaptation framework that (a) uses a virtual testing platform to generate large-scale labeled synthetic coda-wave data across multiscale concrete degradation scenarios, and (b) transfers knowledge to experimental data via a joint adaptation strategy combining domain-adversarial training (aligns feature distributions), minimum class confusion loss (reduces ambiguous class overlap), and BYOL (a self-supervised, bootstrapped representation learner that learns features from unlabeled data). Main contributions are: a reproducible simulation-to-experiment pipeline, a surrogate-fidelity pilot that links physics metrics (wavefield L2, spectral RMS, SSIM) to classifier risk, and a pre-registered evaluation protocol with specimen-level cluster bootstrap confidence intervals. Expected outcome: improved accuracy and calibrated predictions on real specimens with reduced need for experimental labels, and operational gates (negative-transfer triggers) that map surrogate fidelity to safe deployment decisions.</w:t>
      </w:r>
    </w:p>
    <w:p>
      <w:r>
        <w:t xml:space="preserve"> </w:t>
      </w:r>
    </w:p>
    <w:p>
      <w:pPr>
        <w:pStyle w:val="Heading2"/>
      </w:pPr>
      <w:r>
        <w:t>Experiments</w:t>
      </w:r>
    </w:p>
    <w:p>
      <w:r>
        <w:t>Datasets: (1) Synthetic: generate ~10,000 multimodal samples using the virtual testing platform with multiscale degradation parameters (aggregate size, heterogeneity length scales, attenuation, crack geometries) and ultrasonic sources at 50–500 kHz. Each synthetic sample includes waveforms and rendered modalities. (2) Surrogate pilot: 10–20 experimental specimens with paired full-FEM solves and surrogate outputs for fidelity checks. (3) Experimental evaluation set: holdout of N_exp = 80 specimens (specimen-level unit; each specimen has k=5 measurements) covering low/med/high heterogeneity and multiple crack geometries. Small labeled validation pool: N_label ∈ {5, 20} specimens for staged fine-tuning experiments. Baselines: (A) source-only: model trained on synthetic labels only; (B) domain-adversarial (no self-supervision); (C) BYOL pretrain then supervised fine-tune on synthetic; (D) minimum-class-confusion adaptation only; (E) supervised oracle (if full labels available) as upper bound. Proposed method: combined BYOL + domain-adversarial + minimum class confusion + surrogate-fidelity gating. Metrics: per-specimen classification accuracy, per-class confusion matrix, segmentation mIoU (when localization labels available), Expected Calibration Error (ECE), negative log-likelihood (NLL), OOD fraction (percentage flagged as out-of-distribution), and computational cost (GPU-hours). Experimental setup: train models with fixed containerized environment and pinned seeds; use specimen-level cross-validation (5 folds) and report median and 95% CI via cluster bootstrap (resample specimens, 1000 replicates). Training details: pretrain on synthetic for 200 epochs (or until val plateau &lt;1% gain), adaptation phase 100 epochs; batch sizes tuned per modality (images 64, waveforms 128) subject to memory. Ablation studies: remove each adaptation component (BYOL, adversarial, min-class-confusion) one at a time and measure Δ accuracy and Δ ECE on the experimental holdout; vary surrogate acceptance threshold to evaluate false-accept vs false-reject tradeoffs and produce ROC/PR curves mapping surrogate physics metrics (L2_rel, spectral RMS, SSIM) to downstream negative-transfer events (defined as classifier drop &gt;2% or mIoU drop &gt;0.03). Negative-transfer tests: inject surrogate degradations (increase L2_rel in simulation) and verify detection triggers and rollback actions. Seeds and reproducibility: run each configuration with 5 random seeds and perform multi-hardware spot checks; report per-seed metrics and metric drift bounds.</w:t>
      </w:r>
    </w:p>
    <w:p>
      <w:r>
        <w:t xml:space="preserve"> </w:t>
      </w:r>
    </w:p>
    <w:p>
      <w:pPr>
        <w:pStyle w:val="Heading2"/>
      </w:pPr>
      <w:r>
        <w:t>Risk Factors And Limitations</w:t>
      </w:r>
    </w:p>
    <w:p>
      <w:r>
        <w:t>Technical failure modes: poor surrogate fidelity (surrogate wavefields deviate from full solves) leading to negative transfer; over-alignment by adversarial loss causing collapse of class-discriminative features; BYOL representations that do not capture physics-relevant features. Data and evaluation biases: synthetic data may not span real specimen variability (unseen crack shapes or coupling conditions), leading to distribution shift; small labeled validation pools (N_label) may be insufficient for reliable staged fine-tuning. Statistical limitations: ICC estimation from small pilot (10–20 specimens) may have wide confidence intervals, reducing power for cluster-corrected tests. Scalability and compute: full 3D solves are expensive (~2–8 core-hours each); surrogate training and ensemble uncertainty quantification may require hundreds of GPU-hours per cycle, limiting rapid iteration. Generalization limits: the method targets long-path coda-wave ultrasonic signals in concrete and may not transfer to other materials or sensing modalities without new simulations. Operational constraints: nondeterministic GPU operations can cause metric drift across runs; small multi-seed/hardware tests are needed to quantify acceptable variance.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