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reflex_htm_cam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Integrating a spinal-cord-inspired reflex memory block with a hardware-accelerated content-addressable memory to speed first-order sequence inference in Hierarchical Temporal Memory for IoT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a dedicated reflex memory (RM) that handles first-order temporal transitions and accelerating RM with a hardware content-addressable memory (CAM) will reduce per-event sequence-lookup latency and TM load while maintaining multiorder predictive accuracy compared to standard HTM.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use Hierarchical Temporal Memory (HTM) and related sequence-memory models to learn temporal patterns in streaming data. Prior hardware efforts accelerate neural or neuromorphic components and implement content-addressable memory (CAM) for fast lookup, but they generally do not separate first-order reflexive transitions from higher-order sequence inference. Limitations in current approaches include: (1) HTM sequence memory becomes a bottleneck on repetitive first-order patterns common in IoT, due to heavy programmable interconnect and expensive matching operations; (2) software-only reflex or cache layers trade latency for complexity and often break multiorder inference guarantees; (3) CAM-based accelerators exist but are not integrated with HTM semantics and lack transaction/atomicity models for batch updates; (4) hardware verification and reproducible CI for end-to-end temporal models are sparse. These gaps lead to slow or unreliable inference under high-rate IoT streams and unclear failure/recovery semantics.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augmenting Hierarchical Temporal Memory (HTM) with a spinal-cord-inspired reflex memory (RM) that handles frequent, first-order temporal transitions and a hardware content-addressable memory (CAM) that accelerates RM lookups. The RM acts as a fast cache for single-step relationships (reflexes) so that repetitive patterns are resolved rapidly without traversing full HTM sequence machinery. The hardware CAM implementation (H-AHTM) maps reflex keys to actions in constant time, reducing lookup latency and programmable-interconnect load. The main contribution is an integrated algorithm-hardware design that preserves HTM's multiorder inference while offloading first-order workload to RM/CAM, plus a formal CONSOLIDATE protocol (per-entry 32-bit versions, WAL-backed two-phase commit) to ensure atomic batch updates and deterministic recovery. Expected outcomes: sub-microsecond reflex latency on FPGA prototypes, reduced TM computational pressure, maintained or improved predictive log-likelihood on mixed-order IoT datasets, and a reproducible CI-enabled verification suite.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Markov streams with controlled first-order transition rates; (2) N-MNIST event-based vision mapped into event frames; (3) TIDIGITS event-converted speech with onset/offset annotations. Baselines: (A) standard HTM sequence memory, (B) HTM + software RM (no hardware CAM), (C) AHTM (HTM + RM software-integrated), (D) H-AHTM (HTM + RM with hardware CAM). Metrics: reflex lookup latency (ns), end-to-end per-event latency (ns), TM predictive log-likelihood L_t and rolling mean L̄ (window W=1000, EMA α=0.1), reflex hit-rate and false-positive rate (hit if overlap_bits ≥ T_abs and strength ≥ S_thresh; defaults T_abs=38 bits, S_thresh=64/255), resource usage (BRAM36 count, DSP48E2 count, LUT/FF), energy proxy per lookup from CACTI6.5 (28nm,Vdd=0.9V,25°C,8 banks,64b burst). Setup: implement deterministic streaming runner with fixed seeds; run 50 paired streaming runs per configuration; paired bootstrap (10,000 resamples) for 95% CI; report Cohen’s d. Ablations: (1) remove RM to measure TM load increase; (2) replace CAM with software lookup to measure hardware benefit; (3) sweep K_rollback ∈ {5,20,100}; (4) sweep T_abs and S_thresh across sensible ranges. Hardware microbench: FPGA UltraScale+ prototype at 200 MHz; measure popcount reductions for bit widths {256,512,1024,2048} and parallel lanes {1,2,4}; record p50/p95/p99 latencies and energy proxies. CI failure-injection: WAL mid-write crash, torn WAL record, coordinator timeout, overlapping batch conflicts, power loss; verify invariants (per-entry version monotonicity, no partial visibility, idempotent WAL replay). Acceptance criteria examples: reflex latency &lt;1 µs, reflex hit-rate ≥80%, false-positive &lt;2%, TM relative log-likelihood regression ≤5%.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provisional writes may become visible under incorrect memory/read-path design, torn WAL records can cause non-idempotent recovery, and repeated coordinator turnover or network partitions can delay commits. Hardware timing: FPGA-to-ASIC timing closure or BRAM/DSP shortages may force reduced parallelism, increasing latency. Data and evaluation biases: synthetic Markov and mapped event datasets may not cover all real IoT nonstationarity; adjudication choices (excluded ambiguous cases) affect reported rates. Scalability limits: CAM size and interconnect growth make large-scale reflex tables expensive in area and power for high-cardinality domains. Reproducibility constraints: deterministic CI requires strict fixed seeds and environment control; small differences in FPGA toolchains may change measured latencies. Generalization limits: RM optimizes first-order relationships and may not help tasks dominated by higher-order or context-dependent sequences.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