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End-to-end vision-driven quadrupedal locomotion via selective state-space MAMBA fusion and PPO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end-to-end PPO policy that fuses proprioceptive states and depth images using a stacked selective state-space MAMBA backbone will produce a higher median zero-shot success rate on novel terrains than a proprioception-only PPO baseline, with a detectable effect size of Cohen's d ≥ 0.8 under the pre-registered evaluation.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include (1) model-free RL controllers using only proprioception that are sample-efficient but fail on visually complex or novel terrains; (2) modular pipelines that estimate geometry (depth/segmentation) then feed handcrafted features to a controller, which can be brittle because perception errors decouple from control learning; (3) transformer and recurrent world-models that fuse multi-step visual information but often scale quadratically in memory or compute with token length and lack selective scanning mechanisms for very long horizons; and (4) selective state-space models (SSMs) that offer long-horizon modeling with improved scaling but have been rarely applied as a cross-modal fusion backbone for control. Limitations of prior work are: poor cross-modal fusion between proprioception and raw depth tokens, sensitivity to image appearance and resolution, lack of near-linear time/memory scaling for long rollouts, and insufficient statistical safety analysis (tail-risk, EVT) tied to deployment gates. Many prior methods also lack pre-registered ablations and deployment-ready HIL acceptance criteria.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robust quadrupedal locomotion over novel and cluttered terrains by proposing an end-to-end learning framework that fuses proprioception and depth imagery with a stacked selective state-space backbone. Selective state-space models (SSMs) are sequence models that scan input tokens in a way that captures long-range dependencies with near-linear compute and memory growth; we use this property to fuse spatial depth tokens and low-dimensional body state tokens into foresightful features for control. The main contribution is a training and evaluation recipe that combines: a MAMBA-based selective SSM fusion backbone, compact proprioceptive embeddings, patchified depth tokens, end-to-end PPO policy learning, calibrated uncertainty-aware rollouts, and pre-registered EVT-based deployment gates. Expected outcomes are improved zero-shot success on unseen terrains, calibrated predictive uncertainty for safe gating, robustness to token lengths and image resolution, and reproducible acceptance criteria for hardware-in-the-loop trials. This approach aims to close gaps between long-horizon sequence modeling, cross-modal fusion, and practical safety requirements for sim-to-real locomotion.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(1) Simulated quadruped benchmark suite with nominal flat, rough, step, and obstacle-dense terrains; each terrain has domain-randomized appearance and physics parameters sampled from a posterior. (2) Synthetic domain-randomized vision dataset for encoder pretraining. (3) HIL tethered robot episodes for verification. Baselines: (A) proprioception-only PPO; (B) modular pipeline: pretrained depth estimator + proprioception policy; (C) transformer-based fusion policy with same input tokens; (D) MAMBA fusion without stacking or without selective scanning. Metrics: median zero-shot success rate (primary), few-shot adaptation steps to baseline, energy per meter, torque peak percentiles (90/95/99), NLL/CRPS/ECE for predictive models, normalized n-step MSE (1-5 steps), and EVT 99th/99.9th quantiles with bootstrap CI. Experimental setup: pre-register analysis; run 5 independent seeds per variant × 5e6 environment steps per seed; use two-sided Wilcoxon for primary comparison with bootstrap 95% CI and report Cliff's delta; complementary Bayesian sequential test with prior d~N(0,0.5) and stop if BF&gt;10 (hard N cap). Ablations: ensemble sizes {3,5,10}, uncertainty weightings {1/(1+u), softmax(-u), learned gating}, thresholds {90th,95th,99th}, encoder variants {ResNet-lite, ConvNeXt-lite}, and token lengths/image resolutions. EVT and HIL protocol: collect ≥200–1000 tail exceedances per regime in sim before tethered HIL; tethered HIL 200–500 episodes/regime; acceptance criteria include: effect size d≥0.8 for primary comparison, ECE ≤0.05 for uncertainty heads, upper 99% EVT CI &lt; hardware hard limit − δ where δ is safety margin (set per-robot), and reproducible medians within ±5% across 1e5-step smoke tests. Compute: estimate ~72 GPU-hours/seed (A100), ~360 GPU-hours per 5-seed primary variant. Logging: full telemetry, RNG seeds, and container hashes saved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perception failures (occlusions, extreme lighting) can produce overconfident or miscalibrated uncertainty leading to unsafe gates; selective SSM misspecification can underfit complex cross-modal interactions. Statistical limitations: EVT assumes independent tail samples and stationary tails; temporal dependence or regime shifts reduce effective sample size and invalidate naive CI estimates. Data and evaluation biases: domain randomization may not fully cover real-world variations; HIL sample budgets may be insufficient to estimate 99.9% tails reliably. Scalability and compute: long training (millions of steps) and large bootstrap resampling (10k+) require substantial GPU/CPU and storage, limiting rapid iteration. Hardware variability: per-robot differences (actuator gains, latency) limit direct reuse of canonical thresholds without system identification. Safety limits: acceptance requires conservative safety margins and may delay untethered deployment if tails are heavy or nonstationary. Generalization: success on simulated and tethered tests may not guarantee robust performance in all outdoor environments or under adversarial failures.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