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Research Pipeline</w:t>
      </w:r>
    </w:p>
    <w:p>
      <w:r>
        <w:t xml:space="preserve"> </w:t>
      </w:r>
    </w:p>
    <w:p>
      <w:pPr>
        <w:pStyle w:val="Heading2"/>
      </w:pPr>
      <w:r>
        <w:t>Name</w:t>
      </w:r>
    </w:p>
    <w:p>
      <w:r>
        <w:t>adapkooppc_mixed_traffic</w:t>
      </w:r>
    </w:p>
    <w:p>
      <w:r>
        <w:t xml:space="preserve"> </w:t>
      </w:r>
    </w:p>
    <w:p>
      <w:pPr>
        <w:pStyle w:val="Heading2"/>
      </w:pPr>
      <w:r>
        <w:t>Title</w:t>
      </w:r>
    </w:p>
    <w:p>
      <w:r>
        <w:t>Adaptive deep Koopman predictive control for mitigating traffic oscillations in mixed human and automated vehicle flow</w:t>
      </w:r>
    </w:p>
    <w:p>
      <w:r>
        <w:t xml:space="preserve"> </w:t>
      </w:r>
    </w:p>
    <w:p>
      <w:pPr>
        <w:pStyle w:val="Heading2"/>
      </w:pPr>
      <w:r>
        <w:t>Short Hypothesis</w:t>
      </w:r>
    </w:p>
    <w:p>
      <w:r>
        <w:t>An adaptive deep Koopman predictive controller that learns a linear latent model of heterogeneous human-driven vehicle dynamics and is embedded into a model predictive control (MPC) scheme will reduce vehicle speed variance (standard deviation of speed) by at least 25% compared to a calibrated baseline ACC/IDM controller in mixed-traffic simulations with 10–30% connected automated vehicle penetration under identical disturbances.</w:t>
      </w:r>
    </w:p>
    <w:p>
      <w:r>
        <w:t xml:space="preserve"> </w:t>
      </w:r>
    </w:p>
    <w:p>
      <w:pPr>
        <w:pStyle w:val="Heading2"/>
      </w:pPr>
      <w:r>
        <w:t>Related Work</w:t>
      </w:r>
    </w:p>
    <w:p>
      <w:r>
        <w:t>Prior approaches to reducing traffic oscillations include (1) model-based string-stability controllers and MPC applied to homogeneous platoons, (2) classical car-following models (IDM, OVM) used for baseline simulation, (3) data-driven and learning-based controllers including model-free reinforcement learning, and (4) Koopman operator methods that lift nonlinear dynamics into higher-dimensional linear representations. Limitations of existing methods: model-based controllers assume homogeneous drivers and do not scale to heterogeneous, large networks; classical car-following models fail to capture real driver variability; model-free learning often lacks safety guarantees, real-time predictability, and interpretable physical error bounds; existing Koopman methods either use fixed bases or non-adaptive lifts and do not provide end-to-end latent-to-physical uncertainty mapping, adaptive online updates with projection safety, or computational pipelines for real-time MPC integration on edge hardware.</w:t>
      </w:r>
    </w:p>
    <w:p>
      <w:r>
        <w:t xml:space="preserve"> </w:t>
      </w:r>
    </w:p>
    <w:p>
      <w:pPr>
        <w:pStyle w:val="Heading2"/>
      </w:pPr>
      <w:r>
        <w:t>Abstract</w:t>
      </w:r>
    </w:p>
    <w:p>
      <w:r>
        <w:t>Traffic oscillations (stop-and-go waves) emerge in mixed flows of human-driven and automated vehicles and degrade safety and efficiency. We propose an adaptive deep Koopman predictive control framework that learns a linear latent representation of heterogeneous human driver car-following dynamics from naturalistic and simulated data, adapts parameters online, and embeds the linear latent model into a real-time model predictive controller for connected automated vehicles. Main contributions: (1) AdapKoopNet, a learned encoder/decoder that produces a Koopman-linear latent model with Lipschitz-regularized mappings; (2) online adaptive updates with bounded RLS-style parameter change and a certified projection routine enforcing spectral and sparsity constraints; (3) an uncertainty pipeline that maps latent residuals into physical bounds for chance constraints; and (4) an integrated reproducible simulation and CI suite for real-time profiling. Expected outcome: demonstrable reduction in oscillation amplitude and speed variance in mixed-traffic scenarios while preserving computational predictability and providing interpretable physical safety margins.</w:t>
      </w:r>
    </w:p>
    <w:p>
      <w:r>
        <w:t xml:space="preserve"> </w:t>
      </w:r>
    </w:p>
    <w:p>
      <w:pPr>
        <w:pStyle w:val="Heading2"/>
      </w:pPr>
      <w:r>
        <w:t>Experiments</w:t>
      </w:r>
    </w:p>
    <w:p>
      <w:r>
        <w:t>Datasets: (i) Naturalistic trajectories subset (NGSIM-format) preprocessed to Parquet with per-vehicle time series (pos, vel, acc, gap, rel_vel); (ii) Synthetic SUMO/CARLA/Flow scenario library covering densities (free, synchronized, congested), disturbances (emergency braking, lane merge), and AV penetration rates {0%,10%,20%,30%,50%}; hold-out topology set for OOD. Baselines: calibrated IDM-based human drivers, production-like ACC, centralized MPC with full nonlinear model, model-free RL controller, non-adaptive Koopman-MPC (no online adaptation). Metrics: microscopic—speed standard deviation, oscillation amplitude, dominant oscillation frequency and wavelength; safety—min spacing, collision count, constraint violations; macroscopic—throughput, mean travel time; compute—encoder inference latency, MPC solve time, projection time. Experimental setup: train AdapKoopNet on train split, validate Lipschitz constants and residual quantiles on validation split, test on held-out scenarios. Scenario grid: vary density × AV penetration × disturbance type with 30 randomized seeds per cell. Statistical tests: normality check, then paired two-sided t-test or Wilcoxon with α=0.05 and Bonferroni correction; report effect sizes and 95% CI. Ablations: (A) remove online adaptation, (B) remove spectral projection, (C) vary latent dimension {4,8,16}, (D) disable decoder Lipschitz regularization. Additional trials: HIL latency injection experiment and CI runnable demo that trains a tiny model and runs one closed-loop scenario to verify latency targets.</w:t>
      </w:r>
    </w:p>
    <w:p>
      <w:r>
        <w:t xml:space="preserve"> </w:t>
      </w:r>
    </w:p>
    <w:p>
      <w:pPr>
        <w:pStyle w:val="Heading2"/>
      </w:pPr>
      <w:r>
        <w:t>Risk Factors And Limitations</w:t>
      </w:r>
    </w:p>
    <w:p>
      <w:r>
        <w:t>Model mismatch: learned Koopman lift may fail for heavy-tailed or rapidly time-varying driver behaviors (nonstationarity). Persistent lack of persistent excitation (PE) can prevent reliable online identification. Heavy-tailed residuals and outliers can invalidate sub-Gaussian assumptions and inflate empirical uncertainty. Sensor and network issues: asynchronous sensors, packet loss, latency, and clock skew can degrade estimation and MPC timing. Computational limits: projection SDP or global SVD can be too slow on edge CPUs for large latent sizes, forcing conservative fallbacks. Generalization limits: models trained on specific topologies or driver distributions may not transfer to different road networks, maneuvers, or cultural driving styles. Safety dependency: system safety relies on a verified fallback controller and supervisor—if those are not validated, deployment risk increases. Evaluation bias: synthetic scenario distributions and available naturalistic data may not cover rare but critical events, limiting measured performance. Estimation uncertainty: Lipschitz constant and covariance estimates have error that can lead to incorrect physical bounds and OOD detection thresholds.</w:t>
      </w:r>
    </w:p>
    <w:p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