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hypergraph_ssm_node_classification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 with state-space models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role-aware hypergraph representations with adjacency-based embeddings via a learnable transformer-like fusion and state-space propagation increases node classification accuracy by at least 1 percentage point compared to a matched adjacency-only GNN baseline on standard hypergraph benchmarks.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Graph neural networks (GNNs) propagate and aggregate neighbor features to predict node labels but often struggle to capture higher-order relations and long-range dependencies. Hypergraph neural networks extend GNNs by using hyperedges to model multi-way relations, improving expressiveness for group interactions, but many designs rely on simple clique expansions or symmetric diffusion that lose directionality and suffer from spectral bias. Role-aware representation methods capture structural roles (nodes with similar position or function) but are typically separate from adjacency-based features and not integrated into end-to-end training. State-space models (SSMs) and related long-range sequence models provide stable, parameter-efficient propagation for sequence data, but their integration with graph or hypergraph geometry is underexplored. Numerical and stability issues arise when using spectral decompositions (eigen/SVD) on non-normal operators: symmetrization can bias results while bi-orthogonal methods are costly and sensitive. Existing pipelines also lack standardized reproducible defaults, calibrated diagnostics, and automated tuning for spectral components.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hypergraphs by combining role-aware representations, hypergraph convolution, and state-space propagation into a single trainable architecture. The method constructs hypergraphs to capture higher-order node relations and computes role-based embeddings that summarize structural position (role) of nodes in the hypergraph. A learnable transformer-like fusion module combines role-based embeddings with standard adjacency-based features. The fused features are propagated through hypergraph convolution layers and state-space model blocks that provide stable long-range mixing across nodes; residual connections are used to reduce over-smoothing. The main contribution is a modular hybrid that (1) integrates role information into diffusion-aware neural propagation and (2) applies state-space modeling aligned to a spectral subspace for efficient long-range flow. We expect the approach to produce richer node representations and measurable improvements in classification accuracy and calibration on benchmarks where higher-order relations and long-range dependencies are important.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HSBM suite with controlled directedness, non-normality η, and planted labels (n∈{5k,20k}); (2) Medium real hypergraph (n≈5k, e.g., co-authorship or group interaction dataset); (3) Large real hypergraph (n≈20k). Baselines: (A) adjacency-only GNN (GCN) matched in depth/params; (B) Hypergraph GNN with clique expansion; (C) Hypergraph GNN with symmetric normalized diffusion; (D) role-only model (role embeddings + classifier); (E) ablated variants of the proposed model: without role embeddings, without SSM (replace with MLP), and fusion replaced by concatenation. Variants: compare compute_spectrum modes {detach, hard_rescale, soft_penalty, proximal_update} and spectral basis choices {A_sym, bi-orthogonal left/right, randomized SVD}. Metrics: classification accuracy, macro F1, expected calibration error (ECE), spectral radius ρ̂, transient amplification A (max ||P^t g||), orthogonality error ||Q^TQ−I||_F, training runtime, peak memory. Setup: deterministic seeds across numpy/random/torch, 5 seeds per experiment, stratified 5-fold validation, hyperparameter grid for k∈{8,16,32,64}, η swept in [1e-6,1e0], cond_max in {1e3,1e6,1e8}; optimizer: Adam, initial LR tuned per baseline, batch size and epochs fixed per dataset. Ablation study: quantify delta in accuracy and ECE when removing role embeddings, when replacing SSM with MLP, and when switching fusion from transformer-like to concatenation; report paired bootstrap confidence intervals and power analysis for 1% effect detection. Diagnostics: produce accuracy vs η heatmaps, transient amplification curves, pseudospectra overlays, solver iterations and gradient-norm contours for each regime.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Numerical instability: spectral operations on non-normal propagation matrices can cause transient amplification and unstable gradients; symmetrization may introduce bias. Computational cost and memory: spectral bases (Q) and left/right eigenvectors scale O(nk) and may be infeasible for very large n without streaming or distributed strategies. Sensitivity to hyperparameters: choices of k, spectral regularizers, and fusion weights can strongly affect performance and require calibrated tuning. Data bias and leakage: hyperedges that correlate with labels can leak information and inflate evaluation metrics. Limited generalization: gains may appear only on datasets with genuine higher-order structure and roles; in simple graphs the method may not outperform simpler GNNs. Reproducibility across hardware: solver determinism varies with BLAS, GPU drivers, and distributed setups, which can affect spectral estimates and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