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gnn_aclp</w:t>
      </w:r>
    </w:p>
    <w:p>
      <w:r>
        <w:t xml:space="preserve"> </w:t>
      </w:r>
    </w:p>
    <w:p>
      <w:pPr>
        <w:pStyle w:val="Heading2"/>
      </w:pPr>
      <w:r>
        <w:t>Title</w:t>
      </w:r>
    </w:p>
    <w:p>
      <w:r>
        <w:t>Subgraph-enhanced graph neural networks for port-level link prediction in analog circuit netlists</w:t>
      </w:r>
    </w:p>
    <w:p>
      <w:r>
        <w:t xml:space="preserve"> </w:t>
      </w:r>
    </w:p>
    <w:p>
      <w:pPr>
        <w:pStyle w:val="Heading2"/>
      </w:pPr>
      <w:r>
        <w:t>Short Hypothesis</w:t>
      </w:r>
    </w:p>
    <w:p>
      <w:r>
        <w:t>Integrating subgraph-based GNN training with calibrated motif priors and an LLM-assisted netlist conversion pipeline will increase precision@10 by at least 10% and reduce the 95th-percentile surrogate ΔV error by at least 20% compared to a baseline GNN without motif priors or LLM conversion.</w:t>
      </w:r>
    </w:p>
    <w:p>
      <w:r>
        <w:t xml:space="preserve"> </w:t>
      </w:r>
    </w:p>
    <w:p>
      <w:pPr>
        <w:pStyle w:val="Heading2"/>
      </w:pPr>
      <w:r>
        <w:t>Related Work</w:t>
      </w:r>
    </w:p>
    <w:p>
      <w:r>
        <w:t>Prior work applies graph neural networks and link-prediction methods to circuit graphs and netlists, and uses subgraph learning frameworks like SEAL for edge prediction. Other efforts address netlist parsing and format conversion with rule-based parsers, and recent studies use large language models (LLMs) for code or format translation. Existing approaches show three recurring limitations: (1) topology and motif signals are underused or injected in ways that can dominate learning, (2) data scarcity and heterogeneous netlist formats reduce cross-family generalization, and (3) OOD detection, simulator-cost awareness, and reproducible calibration are often missing. Negative sampling strategies and calibration for motif priors are weak or ad-hoc in prior methods, and most baselines do not compare bipartite vs hypergraph schemas or quantify simulator-cost tradeoffs.</w:t>
      </w:r>
    </w:p>
    <w:p>
      <w:r>
        <w:t xml:space="preserve"> </w:t>
      </w:r>
    </w:p>
    <w:p>
      <w:pPr>
        <w:pStyle w:val="Heading2"/>
      </w:pPr>
      <w:r>
        <w:t>Abstract</w:t>
      </w:r>
    </w:p>
    <w:p>
      <w:r>
        <w:t>We introduce GNN-ACLP, a method for port-level link prediction in analog circuit netlists that combines subgraph-based graph neural networks, an LLM-powered netlist conversion tool, and a new annotated dataset. The method trains GNNs using a SEAL-style subgraph extraction to focus on local topology, conditions attention with calibrated motif-detector confidences to bias toward domain-consistent connections, and uses a retrieval-augmented generation LLM pipeline (Netlist Babel Fish) to canonicalize diverse netlist formats. We also release the SpiceNetlist dataset of 775 annotated circuits spanning multiple families and component types. Main contributions are: (1) a subgraph-conditioned GNN pipeline for port-level link prediction, (2) an LLM-based netlist conversion module for format adaptability, and (3) a reproducible dataset and evaluation suite measuring precision@K, surrogate simulator-tail errors, and simulator-cost-weighted false positives. Expected outcome: improved precision@10, tighter simulator-tail error distributions, and higher cross-family robustness in analog link prediction tasks.</w:t>
      </w:r>
    </w:p>
    <w:p>
      <w:r>
        <w:t xml:space="preserve"> </w:t>
      </w:r>
    </w:p>
    <w:p>
      <w:pPr>
        <w:pStyle w:val="Heading2"/>
      </w:pPr>
      <w:r>
        <w:t>Experiments</w:t>
      </w:r>
    </w:p>
    <w:p>
      <w:r>
        <w:t>Datasets: use the SpiceNetlist dataset (775 annotated circuits, 7 families, 10 component classes). Create splits: hold-out families (one or two families for OOD), training pool (≈500 netlists), validation cohort N=200 (two families) for sensitivity sweeps, and a pilot test set of 200 netlists. Baselines: (A) bipartite GNN without motif priors, (B) hypergraph GNN without motif priors, (C) SEAL subgraph baseline without calibrated motif priors, (D) deterministic heuristics (port-proximity and rule-based motif matching), (E) small MLP on hand-crafted features. Models to evaluate: bipartite GNN + motif priors, hypergraph GNN + motif priors, and ablations (motif priors off, logistic vs linear mapping, uncertainty gating on/off). Evaluation metrics: precision@10 (per-netlist, bootstrap 95% CI), recall@10, PR-AUC, edge-level AUC, surrogate tail errors (50/90/95 percentiles for ΔV and |H(f)|), sim-pass rate, cost-weighted FP loss L_FP = (1/N_netlists) Σ Σ_fp [t_fp + 10·I_timeout + 100·I_physicalViolation], expected calibration error (ECE) per family, and reliability diagrams. Experimental setup: run sensitivity grid over detector thresholds ∈ {0.90,0.94,0.95,0.96,0.99} and λ_motif configs with logistic mapping parameters grid λ_max ∈ {0.5,1.0,1.5}, a ∈ {5,15,30,60}, b ∈ {0.75,0.85,0.90} and linear fallback; enforce λ_max cap 1.0 at training. Active learning rehearsal: 3 rounds, batch sizes 50/50/50 on validation cohort N=200, acquisition by ensemble-BALD with clustering+maximin. Ablations: graph schema (bipartite vs hypergraph), motif-prior injection (soft-agg, gating, gating+KCL clipping), negative-sampling schedules (pos:neg start 1:10 → 1:3). OOD detectors comparison: Mahalanobis+Ledoit–Wolf, deep ensembles, MC-dropout, ODIN, one-class density estimator; report AUROC, FPR@TPR, latency, and remediation throughput. Statistical tests: paired bootstrap for precision@10 and surrogate-tail percentiles, McNemar for sim-pass rates, Wilcoxon signed-rank for ablations; control multiple comparisons with Benjamini–Hochberg FDR and pre-register primary endpoints. Reproducibility: fix seeds, container hashes, SPICE engine/version, sim timeout = 5 min with one retry, and include a 10-netlist CI smoke test.</w:t>
      </w:r>
    </w:p>
    <w:p>
      <w:r>
        <w:t xml:space="preserve"> </w:t>
      </w:r>
    </w:p>
    <w:p>
      <w:pPr>
        <w:pStyle w:val="Heading2"/>
      </w:pPr>
      <w:r>
        <w:t>Risk Factors And Limitations</w:t>
      </w:r>
    </w:p>
    <w:p>
      <w:r>
        <w:t>Technical failure modes: motif priors may overfit or suppress discovery of valid noncanonical links; surrogate models can extrapolate and produce misleading tail errors; LLM netlist conversion may introduce parsing errors or semantic drift. Data biases: SpiceNetlist may not cover all circuit families or rare motifs, causing limited generalization. Evaluation biases: simulator nondeterminism and differing SPICE settings can change labels and metrics. Scalability and compute: simulator-heavy AL and sensitivity sweeps require thousands of simulations and significant CPU/GPU resources. OOD and calibration limits: per-family calibration is weak when N&lt;50 and hierarchical pooling increases posterior uncertainty. Operational: human-review bottlenecks for parser or netlist bugs can delay re-ingestion. These risks limit guaranteed transfer to unseen families and may require additional data collection or compute to reach production-grade robustness.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