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decentralized_mab_ev_charging</w:t>
      </w:r>
    </w:p>
    <w:p>
      <w:r>
        <w:t xml:space="preserve"> </w:t>
      </w:r>
    </w:p>
    <w:p>
      <w:pPr>
        <w:pStyle w:val="Heading2"/>
      </w:pPr>
      <w:r>
        <w:t>Title</w:t>
      </w:r>
    </w:p>
    <w:p>
      <w:r>
        <w:t>Decentralized multi-agent two-armed Thompson sampling for smart electric vehicle charging</w:t>
      </w:r>
    </w:p>
    <w:p>
      <w:r>
        <w:t xml:space="preserve"> </w:t>
      </w:r>
    </w:p>
    <w:p>
      <w:pPr>
        <w:pStyle w:val="Heading2"/>
      </w:pPr>
      <w:r>
        <w:t>Short Hypothesis</w:t>
      </w:r>
    </w:p>
    <w:p>
      <w:r>
        <w:t>A fully decentralized algorithm that models each EV's instantaneous decision as a two-armed bandit and uses Thompson sampling with local gossip (d-mab2ab-ts) will reduce cumulative grid constraint violations by at least 30% relative to a decentralized UCB baseline while incurring cumulative regret within 20% of a centralized oracle after T = 10,000 time steps under typical residential feeder conditions.</w:t>
      </w:r>
    </w:p>
    <w:p>
      <w:r>
        <w:t xml:space="preserve"> </w:t>
      </w:r>
    </w:p>
    <w:p>
      <w:pPr>
        <w:pStyle w:val="Heading2"/>
      </w:pPr>
      <w:r>
        <w:t>Related Work</w:t>
      </w:r>
    </w:p>
    <w:p>
      <w:r>
        <w:t>Prior work applies multi-armed bandits (MAB) and multi-agent learning to demand response and EV charging, often using centralized coordination, centralized dual updates, or decentralized UCB-style rules. Thompson sampling (a Bayesian sampling method for balancing exploration/exploitation) has shown strong empirical performance in single-agent and some multi-agent settings, but existing decentralized bandit methods often assume ideal communication, ignore finite-sample constants, or lack realistic grid models. Work that integrates grid constraints typically uses primal-dual updates with LinDistFlow approximations but either relies on centralized aggregation for duals or omits rigorous treatment of communication noise, differential privacy (DP) noise, quantization, and Byzantine agents. Limitations: (1) lack of end-to-end finite-sample bounds tying communication errors to regret/violations, (2) weak treatment of DP/quantization effects on confidence intervals, (3) few validated rollback rules connecting LinDistFlow linearization error to AC feasibility, and (4) scarce evaluation of heterogeneous sampling rates across agents.</w:t>
      </w:r>
    </w:p>
    <w:p>
      <w:r>
        <w:t xml:space="preserve"> </w:t>
      </w:r>
    </w:p>
    <w:p>
      <w:pPr>
        <w:pStyle w:val="Heading2"/>
      </w:pPr>
      <w:r>
        <w:t>Abstract</w:t>
      </w:r>
    </w:p>
    <w:p>
      <w:r>
        <w:t>We study fully decentralized coordination of electric vehicle (EV) charging using a multi-agent multi-armed bandit view where each instantaneous EV decision is a two-armed bandit: charge or not. We propose d-mab2ab-ts, a model-free algorithm that uses Thompson sampling locally and a gossip-based exchange of sufficient statistics to account for uncertainty about other agents' choices. The method is designed to be private (compatible with Gaussian differential privacy), scalable (computation linear in number of arms), and robust to packet loss, quantization, and a bounded fraction of Byzantine agents. Our main contribution is a suite of explicit, finite-sample statements: a canonical communication-error term E_comm decomposing consensus bias and added variance, gap-dependent and gap-independent regret templates with explicit constants, and a LinDistFlow linearization bound together with a provable rollback rule to guarantee AC feasibility. Expected outcomes: lower constraint violations and consumer cost compared to decentralized baselines, quantified privacy vs. sample-complexity tradeoffs, and reproducible calibration tables mapping communication parameters to provable performance penalties.</w:t>
      </w:r>
    </w:p>
    <w:p>
      <w:r>
        <w:t xml:space="preserve"> </w:t>
      </w:r>
    </w:p>
    <w:p>
      <w:pPr>
        <w:pStyle w:val="Heading2"/>
      </w:pPr>
      <w:r>
        <w:t>Experiments</w:t>
      </w:r>
    </w:p>
    <w:p>
      <w:r>
        <w:t>Datasets and simulation environments: OpenDSS AC power-flow co-sim with synthetic residential feeder traces and three feeder templates: IEEE 13-node, IEEE 34-node, and one real residential feeder (parameterized JSON). EV traces: arrival time, initial state-of-charge (SoC), departure time, and desired energy sampled from empirical distributions; reward signal bounded in [0,1]. Baselines: (1) centralized Thompson sampling oracle with full information and centralized duals, (2) decentralized UCB with gossip, (3) greedy price-taking decentralized policy, (4) d-mab2ab-ts (proposed). Metrics: cumulative regret R_T (sum of difference to per-step oracle reward), cumulative constraint violation V_T (sum of voltage magnitude and transformer overload exceedances measured in per-unit violation amount), total consumer charging cost, communication bits per agent, runtime per step, and effective privacy budget (ε_dp). Experiment setup: N in {50,100,200} agents, horizon T = 10,000 steps, K = 2 arms per agent, 30 random seeds. Communication parameters: inter-sync τ in {1,5,20}, packet success p in {0.95,0.8,0.6}, quantization bits b in {8,4,2}, DP budgets ε_dp in {0.1,0.5,1.0} with δ_dp = 1e-5. Ablations and comparisons: (A) DP/quantization sweep to produce privacy vs extra-sample curves; (B) τ and p sweep to quantify E_comm effect on R_T and V_T; (C) Byzantine injection with fraction α in {0,0.1,0.2} tested using trimmed-mean and median-of-means aggregation; (D) Δ_min solver study: exact IP vs LP relaxation vs greedy approximation to measure effect of Δ_est on gap-dependent regret. Validation: for each run perform OpenDSS AC check and, if violation predicted, apply rollback and record post-rollback feasibility and suboptimality. Reporting: report mean ± 95% confidence intervals, pairwise statistical tests vs baselines, and lookup tables mapping (λ2, p, τ, b, ε_dp) → empirical E_comm percentiles.</w:t>
      </w:r>
    </w:p>
    <w:p>
      <w:r>
        <w:t xml:space="preserve"> </w:t>
      </w:r>
    </w:p>
    <w:p>
      <w:pPr>
        <w:pStyle w:val="Heading2"/>
      </w:pPr>
      <w:r>
        <w:t>Risk Factors And Limitations</w:t>
      </w:r>
    </w:p>
    <w:p>
      <w:r>
        <w:t>1) Constants and calibration: inconsistency in multiplicative constants (e.g., c1) can invalidate numeric guarantees until a single conservative constant is chosen and validated. 2) Communication sensitivity: high τ, low p, or coarse quantization may inflate E_comm and require many extra samples, degrading learning. 3) Privacy cost: Gaussian DP noise increases CI widths and sample complexity; small ε_dp may make the algorithm impractical without more communication or time. 4) LinDistFlow validity: the linear model can fail under heavy loading (high per-branch loading ratio ρ or extreme R/X ratio γ), producing wrong duals unless rollback is conservative; AC-OPF checks add runtime. 5) Heterogeneous sampling (nonuniform n_i): naive substitutions (n_min or n_avg) can produce loose bounds and unexpected worst-case behavior. 6) Adversaries: Byzantine or Sybil attacks can break consensus and inflate regret unless robust aggregation is used; robust methods increase sample complexity. 7) Scalability: although per-pull compute is O(K), large N increases communication and calibration costs for lookup tables. 8) Simulation-to-real gap: OpenDSS and synthetic traces may not capture all field variability (meter error, user behavior drift). 9) Compute limits: calibration (ns-3 + OpenDSS) and IP solvers for Δ_min may be computationally heavy for large feeders. 10) Evaluation bias: selected feeders and traces influence measured Δ_min and c1; results must not be over-generalized beyond tested feeder classes.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