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quantum_lstm_attention_permeability</w:t>
      </w:r>
    </w:p>
    <w:p>
      <w:r>
        <w:t xml:space="preserve"> </w:t>
      </w:r>
    </w:p>
    <w:p>
      <w:pPr>
        <w:pStyle w:val="Heading2"/>
      </w:pPr>
      <w:r>
        <w:t>Title</w:t>
      </w:r>
    </w:p>
    <w:p>
      <w:r>
        <w:t>Quantum-enhanced long short-term memory with attention for spatial permeability prediction in oilfield reservoirs</w:t>
      </w:r>
    </w:p>
    <w:p>
      <w:r>
        <w:t xml:space="preserve"> </w:t>
      </w:r>
    </w:p>
    <w:p>
      <w:pPr>
        <w:pStyle w:val="Heading2"/>
      </w:pPr>
      <w:r>
        <w:t>Short Hypothesis</w:t>
      </w:r>
    </w:p>
    <w:p>
      <w:r>
        <w:t>Embedding variational quantum circuits into LSTM gates with an attention mechanism and using a hybrid quantum–classical training schedule will reduce validation CRPS by at least 10% relative to a rigorously tuned classical LSTM+attention baseline under the same training and data budget.</w:t>
      </w:r>
    </w:p>
    <w:p>
      <w:r>
        <w:t xml:space="preserve"> </w:t>
      </w:r>
    </w:p>
    <w:p>
      <w:pPr>
        <w:pStyle w:val="Heading2"/>
      </w:pPr>
      <w:r>
        <w:t>Related Work</w:t>
      </w:r>
    </w:p>
    <w:p>
      <w:r>
        <w:t>Classical sequence models (LSTM and attention-enhanced LSTM) and geostatistical methods (kriging/universal kriging with variogram fitting) are standard for spatial permeability prediction but can fail to capture complex, high-dimensional spatial correlations and uncertainty. Tree-based methods (random forest) provide strong point estimates but weak probabilistic calibration. Quantum machine learning work has demonstrated that variational quantum circuits (VQCs) and quantum-enhanced recurrent cells can change representation capacity; some prior hybrid quantum–classical RNNs report improved small-scale benchmarks but face limitations: high sensitivity to device noise, large shot costs for gradient estimation, limited qubit counts, inconsistent error‑mitigation protocols, and a lack of standardized baselines or reproducible training schedules. Existing studies rarely compare encoding schemes (angle/amplitude/PCA) or quantify how gate configuration (shared vs independent) and qubit number affect predictive uncertainty and spatial diagnostics.</w:t>
      </w:r>
    </w:p>
    <w:p>
      <w:r>
        <w:t xml:space="preserve"> </w:t>
      </w:r>
    </w:p>
    <w:p>
      <w:pPr>
        <w:pStyle w:val="Heading2"/>
      </w:pPr>
      <w:r>
        <w:t>Abstract</w:t>
      </w:r>
    </w:p>
    <w:p>
      <w:r>
        <w:t>We present a hybrid quantum–classical model that integrates variational quantum circuits into long short-term memory (LSTM) recurrent gates and augments the cell with an attention mechanism for spatial permeability prediction in oilfield reservoirs. The method embeds small parameterized quantum circuits (VQCs) inside selected gate operations, compares two gate quantization structures (shared vs independent gates), and evaluates how qubit count and encoding affect predictions. Training uses a two-stage hybrid schedule: stochastic finite-difference (SPSA) pretraining followed by targeted parameter-shift fine-tuning on a top-K parameter subset. We supply a reproducible experimental protocol, shot‑budget prescriptions, and error-mitigation benchmarks to enable fair hardware comparisons. The main contributions are (1) a concrete QLSTMA architecture for gridded permeability fields, (2) an empirical study of gate configuration and qubit-scaling on predictive accuracy and uncertainty, and (3) a pre-registered evaluation pipeline linking simulator–device fidelity to downstream uncertainty metrics. Expected outcome: measurable improvement in calibrated probabilistic predictions and spatial diagnostics versus classical baselines under realistic shot budgets.</w:t>
      </w:r>
    </w:p>
    <w:p>
      <w:r>
        <w:t xml:space="preserve"> </w:t>
      </w:r>
    </w:p>
    <w:p>
      <w:pPr>
        <w:pStyle w:val="Heading2"/>
      </w:pPr>
      <w:r>
        <w:t>Experiments</w:t>
      </w:r>
    </w:p>
    <w:p>
      <w:r>
        <w:t>Datasets: Norne and Sleipner field datasets (well logs, core permeability, stratigraphic depth) plus synthetic conditional simulations: Matérn Gaussian fields, sequential Gaussian simulation (SGS), and multiple-point statistics (MPS) with controlled heterogeneity. Data splits: leave-one-well-out cross-validation (5 folds) plus sensitivity folds stratified by facies/connectivity; fixed seeds [42,7,1234] for deterministic encodings. Baselines: (A) LSTM (same cell size) trained on patch features; (B) LSTM+attention (classical attention module); (C) random forest on same features; (D) universal kriging with variogram fitted per fold; (E) classical hybrid: PCA-compressed patches → LSTM+attention. Evaluation metrics: CRPS (Continuous Ranked Probability Score, lower is better; measures probabilistic forecast quality), MSE (mean squared error), variogram reproduction error (difference between model and empirical variogram), PICP (prediction-interval coverage probability), connectivity metric (flow-relevant connectivity error), and saliency–kriging Pearson r (correlation between model saliency and kriging variance). Quantum model variants: qubit counts {4,8,12}, patch baseline 8×8, encoding types {PCA-angle (PCA then angle encoding), amplitude, hybrid}, gate configurations {shared_gates, independent_gates}. Training setup: Phase A SPSA pretraining (m∈{25,50}, per-eval shots N=2000 default), Phase B top-K selection via Fisher-proxy, Phase C parameter-shift fine-tune on top-K with s=1 and N=1250. Error‑mitigation experiments: readout calibration matrix inversion, zero-noise extrapolation (Richardson with 2–3 stretch factors), randomized compiling optional. Ablation studies: (1) gate configuration ablation comparing shared vs independent gates keeping other factors fixed; (2) encoding ablation comparing PCA-angle vs amplitude vs hybrid; (3) optimizer ablation comparing SPSA-only, parameter-shift-only, and hybrid schedule. Statistical testing: paired bootstrap 95% CIs and Wilcoxon signed-rank tests with Holm-Bonferroni correction for multiple model families. Reproducibility: all runs captured in MLflow, Docker container with unit tests (parameter-shift notation unit test, variance-vs-shot notebook), and a minimal runnable example that executes the full pipeline on a small synthetic field.</w:t>
      </w:r>
    </w:p>
    <w:p>
      <w:r>
        <w:t xml:space="preserve"> </w:t>
      </w:r>
    </w:p>
    <w:p>
      <w:pPr>
        <w:pStyle w:val="Heading2"/>
      </w:pPr>
      <w:r>
        <w:t>Risk Factors And Limitations</w:t>
      </w:r>
    </w:p>
    <w:p>
      <w:r>
        <w:t>Hardware noise and limited qubit counts: real quantum processors have gate/readout errors that can inflate σ_f^2 (per-evaluation variance) and bias gradients, limiting observable gains. Shot-cost and wall-clock: high shot budgets required for parameter-shift gradients may be prohibitive in practice. Simulator fidelity mismatch: injected noise models may not fully capture device non‑IID drift or cross-talk, reducing validity of simulator-to-device claims. Data and generalization: field datasets are heterogeneous and small-well counts limit statistical power; improvements may not generalize to different basins or facies distributions. Optimization failure modes: SPSA bias (depends on c) or poor top-K selection may stall convergence. Interpretability limits: saliency on expectation-value outputs is noisy under shot sampling and may correlate weakly with geologic uncertainty. Scalability: circuit depth and parameter count p increase shot cost (parameter-shift scales as 2p·N shots) and may exceed feasible hardware budgets. Evaluation bias: inadequate classical baseline tuning or multiplicity controls can produce misleading claims.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