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adora2a_cp_csflow</w:t>
      </w:r>
    </w:p>
    <w:p>
      <w:r>
        <w:t xml:space="preserve"> </w:t>
      </w:r>
    </w:p>
    <w:p>
      <w:pPr>
        <w:pStyle w:val="Heading2"/>
      </w:pPr>
      <w:r>
        <w:t>Title</w:t>
      </w:r>
    </w:p>
    <w:p>
      <w:r>
        <w:t>Adenosine A2A receptor signaling in the choroid plexus and its causal role in cerebrospinal fluid secretion and ventriculomegaly in hydrocephalus via PI3K/AKT–SPAK and NF-κB–ATP1A2 pathways</w:t>
      </w:r>
    </w:p>
    <w:p>
      <w:r>
        <w:t xml:space="preserve"> </w:t>
      </w:r>
    </w:p>
    <w:p>
      <w:pPr>
        <w:pStyle w:val="Heading2"/>
      </w:pPr>
      <w:r>
        <w:t>Short Hypothesis</w:t>
      </w:r>
    </w:p>
    <w:p>
      <w:r>
        <w:t>Activation of adenosine A2A receptors (A2AR) in choroid plexus epithelial cells increases CSF secretion and produces ventricular enlargement through PI3K/AKT-dependent SPAK phosphorylation and NF-κB-mediated upregulation of ATP1A2, and selective A2AR antagonism with istradefylline prevents these effects.</w:t>
      </w:r>
    </w:p>
    <w:p>
      <w:r>
        <w:t xml:space="preserve"> </w:t>
      </w:r>
    </w:p>
    <w:p>
      <w:pPr>
        <w:pStyle w:val="Heading2"/>
      </w:pPr>
      <w:r>
        <w:t>Related Work</w:t>
      </w:r>
    </w:p>
    <w:p>
      <w:r>
        <w:t>Prior studies show adenosine receptors modulate intracellular cyclic AMP and can influence ion transporter signaling and fluid balance in brain tissues. Other work links NKCC1, AQP1, and Na+/K+-ATPase activity to CSF production and demonstrates animal hydrocephalus models (obstructive, hemorrhagic, and genetic) that alter ventricular size. Radioligand binding and PET have been used to measure receptor occupancy in brain regions. However, existing approaches have limitations: they rarely demonstrate A2AR localization and function specifically in choroid plexus epithelial subtypes; they lack integrated occupancy-to-effect curves tied to CP transporter readouts; many studies do not control for adenosine metabolism or transport confounds (ADA, CD39/CD73, ENT1/2); CP microdialysis data are sparse and often lack recovery calibration; human CP validation is limited; and prior work seldom links PK/PD, CSF secretion rate, and MRI flow metrics in a preregistered statistical framework.</w:t>
      </w:r>
    </w:p>
    <w:p>
      <w:r>
        <w:t xml:space="preserve"> </w:t>
      </w:r>
    </w:p>
    <w:p>
      <w:pPr>
        <w:pStyle w:val="Heading2"/>
      </w:pPr>
      <w:r>
        <w:t>Abstract</w:t>
      </w:r>
    </w:p>
    <w:p>
      <w:r>
        <w:t>Hydrocephalus involves abnormal accumulation of cerebrospinal fluid (CSF) and ventricular enlargement, but molecular drivers of CSF hypersecretion remain unclear. This study tests whether aberrant signaling through the adenosine A2A receptor (A2AR) in choroid plexus epithelial cells drives CSF overproduction and ventriculomegaly via two parallel routes: PI3K/AKT-dependent phosphorylation of SPAK (a kinase that modulates ion transporters) and NF-κB-dependent transcriptional upregulation of ATP1A2 (a Na+/K+-ATPase subunit). We combine targeted pharmacology (istradefylline), receptor occupancy assays, microdialysis of adenosine, ex vivo CP transporter function assays, quantitative MRI flow/volume measures, AAV genetic perturbations, and human CP sample analysis. Main contributions are (1) causal linkage of A2AR engagement to specific transporter phosphorylation and transcriptional changes at the CP, (2) occupancy–effect curves that connect drug exposure to CSF secretion and MRI biomarkers, and (3) preclinical evidence supporting repurposing A2AR antagonism for hydrocephalus. Expected outcomes are mechanistic proof of A2AR-driven CSF hypersecretion and defined PK/PD thresholds for therapeutic antagonism with translational biomarkers.</w:t>
      </w:r>
    </w:p>
    <w:p>
      <w:r>
        <w:t xml:space="preserve"> </w:t>
      </w:r>
    </w:p>
    <w:p>
      <w:pPr>
        <w:pStyle w:val="Heading2"/>
      </w:pPr>
      <w:r>
        <w:t>Experiments</w:t>
      </w:r>
    </w:p>
    <w:p>
      <w:r>
        <w:t>Datasets: mouse cohorts (C57BL/6 wild-type, Adora2a global KO, Adora2a floxed with CP-restricted Cre AAV), hydrocephalus models: kaolin-induced obstructive (chronic), intraventricular hemorrhage (IVH) model (post-hemorrhagic), and AAV-driven CP NKCC1 or AQP1 overexpression; human samples: fresh/frozen choroid plexus tissue n=10-15 and CSF n=20-30 from surgical patients (metadata includes medications, time-of-day, anesthesia). Baselines: vehicle control, peripherally-restricted antagonist (negative central control), and genetic KO. Pharmacologic arms: istradefylline (chronic antagonist), ZM241385 (ex vivo radioligand/displacement), regadenoson or CGS-21680 (agonists for mechanistic contrast). Primary endpoints: CSF secretion rate measured by ventriculo-cisternal perfusion or tracer clearance (percent change), and aqueductal CSF flow/stroke volume measured by phase-contrast MRI (PC-MRI). Secondary endpoints: lateral ventricle volume (MRI), CP cAMP, p-SPAK, p-NKCC1, p-AQP1, ATP1A2 mRNA/protein, NF-κB activity, and radioligand occupancy (Bmax/Kd and PET displacement). Adenosine system controls: quantify extracellular ATP/AMP/adenosine by LC-MS/MS (LLOQ ≤0.5 nM), measure ADA activity, CD39/CD73 activity, and ENT1/ENT2 transport function; include ADA inhibitors and ENT blockers as intervention arms. Microdialysis: low-flow probes (0.5-1 µL/min), no-net-flux calibration, report recovery percent and histologic probe placement. Ex vivo functional assays: Ussing chamber short-circuit current, 86Rb+ flux for NKCC1, and fluid movement across CP sheets and CP organoids. Occupancy–effect mapping: derive occupancy–PD curves by pairing radioligand binding (CP membranes) and in vivo PET displacement with corresponding transporter phosphorylation and CSF secretion measures. Ablation study: compare effects in Adora2a global KO and CP-specific Adora2a deletion versus wild-type and pharmacologic antagonism to test receptor specificity. Evaluation metrics: linear mixed-effects models for longitudinal data with animal as random effect; covariates: sex, age, weight, anesthesia depth, and CBF; primary family alpha=0.05 with Holm-Bonferroni correction; exploratory outcomes controlled by Benjamini-Hochberg FDR. Power: pilot n=4-6/group to estimate SD, then definitive cohorts targeting 80% power (examples: for 25% ventricular change with SD 15% → n≈10-12/group; for 30% CSF secretion change with SD 20% → n≈8-10/group). QC thresholds: LC-MS/MS accuracy ±15% (±20% at LLOQ), radioligand Bmax CV ≤20%, microdialysis probe placement confirmation in ≥80% animals. Analysis ablations: remove adenosine metabolism controls (ADA inhibition arm) to test confounding; remove CP-specific A2AR deletion to test necessity of CP-localized receptor.</w:t>
      </w:r>
    </w:p>
    <w:p>
      <w:r>
        <w:t xml:space="preserve"> </w:t>
      </w:r>
    </w:p>
    <w:p>
      <w:pPr>
        <w:pStyle w:val="Heading2"/>
      </w:pPr>
      <w:r>
        <w:t>Risk Factors And Limitations</w:t>
      </w:r>
    </w:p>
    <w:p>
      <w:r>
        <w:t>Microdialysis can damage CP tissue and alter local inflammation, biasing adenosine measures and CSF secretion; probe-induced artefacts may reduce usable data. PET and radioligand occupancy in CP may have low signal-to-noise because CP is small and adjacent to CSF, limiting occupancy precision. Species differences in A2AR expression and transporter regulation may limit translation from rodents to humans. Human sample variability is high due to medications (e.g., caffeine, methylxanthines), anesthesia, comorbidities, and post-surgical ischemia times, producing batch effects. Anesthesia regimens affect adenosine and CSF dynamics and may confound comparisons. AAV-mediated CP targeting may show off-target expression or immune responses that complicate interpretation. Peripheral cardiovascular effects of A2AR modulation can confound central CSF outcomes. Statistical power depends on pilot SD estimates; unexpected high variability can make definitive trials infeasible without larger cohorts. Results will be specific to the tested hydrocephalus models and may not generalize to all clinical hydrocephalus subtypes.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