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lab_testing_errors_retrospective</w:t>
      </w:r>
    </w:p>
    <w:p>
      <w:r>
        <w:t xml:space="preserve"> </w:t>
      </w:r>
    </w:p>
    <w:p>
      <w:pPr>
        <w:pStyle w:val="Heading2"/>
      </w:pPr>
      <w:r>
        <w:t>Title</w:t>
      </w:r>
    </w:p>
    <w:p>
      <w:r>
        <w:t>Retrospective descriptive and Six Sigma analysis of laboratory testing errors across the total testing process in a general hospital</w:t>
      </w:r>
    </w:p>
    <w:p>
      <w:r>
        <w:t xml:space="preserve"> </w:t>
      </w:r>
    </w:p>
    <w:p>
      <w:pPr>
        <w:pStyle w:val="Heading2"/>
      </w:pPr>
      <w:r>
        <w:t>Short Hypothesis</w:t>
      </w:r>
    </w:p>
    <w:p>
      <w:r>
        <w:t>Applying a standardized adjudication protocol with timestamp reconciliation to three years of laboratory incident records will yield interrater reliability (Cohen's κ) ≥ 0.75 and demonstrate that pre-analytical errors occur at a rate at least 20% higher than analytical or post-analytical errors.</w:t>
      </w:r>
    </w:p>
    <w:p>
      <w:r>
        <w:t xml:space="preserve"> </w:t>
      </w:r>
    </w:p>
    <w:p>
      <w:pPr>
        <w:pStyle w:val="Heading2"/>
      </w:pPr>
      <w:r>
        <w:t>Related Work</w:t>
      </w:r>
    </w:p>
    <w:p>
      <w:r>
        <w:t>Prior approaches to studying laboratory testing errors include manual chart review, facility-specific taxonomies, and emerging machine-learning classifiers for anomaly detection. Recent trends apply automated detection using electronic health record (EHR) and laboratory information system (LIS) logs, and use Six Sigma-style metrics to summarize defect rates. Limitations across existing methods are: inconsistent error taxonomies that reduce comparability across sites; low or unreported interrater reliability for harm adjudication; poor timestamp provenance and missing critical timestamps that bias temporal analyses; scarcity of labeled positive examples for rare, high-harm events limiting supervised learning; insufficient handling of missing-not-at-random (MNAR) patterns; and weak reproducibility because analytic pipelines and simulation defaults are not routinely shared. Interrupted time series analyses used for interventions often omit explicit confounder lists and causal diagrams, and many studies do not prespecify multiplicity controls for multiple sites or interventions.</w:t>
      </w:r>
    </w:p>
    <w:p>
      <w:r>
        <w:t xml:space="preserve"> </w:t>
      </w:r>
    </w:p>
    <w:p>
      <w:pPr>
        <w:pStyle w:val="Heading2"/>
      </w:pPr>
      <w:r>
        <w:t>Abstract</w:t>
      </w:r>
    </w:p>
    <w:p>
      <w:r>
        <w:t>This study analyzes three years of retrospective laboratory error records to identify, quantify, and prioritize errors across the total testing process (pre-analytical, analytical, post-analytical). We apply a standardized adjudication protocol with anchored vignettes and timestamp reconciliation, descriptive statistics, and Six Sigma metrics (a quality measure expressed as defects per million opportunities) to characterize frequencies by phase and specimen source. We pair these summaries with Monte Carlo interrupted time series simulations to set completeness and power thresholds and to evaluate sensitivity to missing-not-at-random data patterns. For rare high-harm events we evaluate supervised and active-learning approaches with external site holdouts and human-in-the-loop review. Main contributions are: a reproducible operational pipeline (adjudication rules, reconciliation logic, unit tests), concrete sample-size guidance for reliability and machine learning, and site-adjustable decision rules tied to simulation outputs. Expected outcomes include validated κ ≥ 0.75 adjudication, robust phase-specific error rate estimates, and operational thresholds to guide targeted quality-improvement actions.</w:t>
      </w:r>
    </w:p>
    <w:p>
      <w:r>
        <w:t xml:space="preserve"> </w:t>
      </w:r>
    </w:p>
    <w:p>
      <w:pPr>
        <w:pStyle w:val="Heading2"/>
      </w:pPr>
      <w:r>
        <w:t>Experiments</w:t>
      </w:r>
    </w:p>
    <w:p>
      <w:r>
        <w:t>Datasets: three-year retrospective error records and incident reports from the hospital LIS; instrument logs and collector device timestamps; specimen metadata (source, collector_id, transport_method); aggregated monthly testing volumes and simple case-mix proxies (e.g., ward-level acuity indicators). Baselines: (A) raw counts without reconciliation or standardized adjudication; (B) manual-only adjudication without anchored vignettes; (C) rule-based anomaly detection (simple heuristics). Experimental steps: 1) Pilot adjudication: stratified 200-case sample (balanced by phase and suspected harm) with dual blinded reviewers to measure Cohen's κ; compute 95% CI (bootstrap). If κ in 0.60–0.74 run retraining +100 cases. 2) Timestamp reconciliation test: compare default 5-minute reconciliation window versus site-specific 95th-percentile window; report timestamp completeness (% present), manual-review flag rate, and effect on phase assignment. 3) Descriptive and Six Sigma metrics: compute phase-specific error rates (errors per 1,000 tests), defect-per-million-opportunities (DPMO), and sigma level (explain as sigma = quality level derived from DPMO). 4) ITS simulations: negative-binomial segmented regression Monte Carlo varying missingness 0–50% under MCAR/MAR/MNAR, autocorrelation ρ ∈ {0,0.2,0.4}, and overdispersion φ values; output bias (%) and power for expected effect sizes (20%, 30% RR change). 5) MNAR sensitivity: pattern-mixture models with delta grid spanning relative odds shifts −25% to +50%; report tipping point where ITS estimate changes ≥10%. 6) ML for rare events: train supervised classifiers with class weighting, SMOTE, and active learning; require 200–500 positive examples when possible; splits: temporal train/validation/test (70/15/15) plus external site holdout. Metrics and evaluations: Cohen's κ (interrater reliability), phase error rates, DPMO and sigma levels, timestamp completeness %, ITS bias and power, AUC-PR, sensitivity, PPV, calibration (Brier score), manual-review workload (flags/month). Ablations: remove reconciliation step, remove anchored vignettes (reduced training), and remove MNAR adjustments; compare κ, phase rates, ITS bias, and ML performance across these ablations. Reproducibility: run all analyses with seeded random seeds and provide sample output tables per site.</w:t>
      </w:r>
    </w:p>
    <w:p>
      <w:r>
        <w:t xml:space="preserve"> </w:t>
      </w:r>
    </w:p>
    <w:p>
      <w:pPr>
        <w:pStyle w:val="Heading2"/>
      </w:pPr>
      <w:r>
        <w:t>Risk Factors And Limitations</w:t>
      </w:r>
    </w:p>
    <w:p>
      <w:r>
        <w:t>Incomplete or inconsistent timestamps may produce biased phase assignment and ITS estimates (missing-not-at-random patterns are likely). Scarce positives for rare high-harm events can prevent stable supervised models (low statistical power). Interrater drift may reduce κ over time and invalidate comparisons. Site heterogeneity (different workflows, LOINC mappings, clock skews) limits generalization. Zero-inflation and overdispersion in monthly counts can complicate model fitting (standard models may fail). Monte Carlo simulations and ITS rely on correct specification of autocorrelation and dispersion; misspecification leads to misleading power estimates. Privacy constraints (date offsets to de-identify) can reduce temporal precision and complicate reconciliation. Computational cost for extensive site-level simulations and ML training may be high for resource-limited sites. Multiplicity from testing many phases, sites, and interventions increases false-discovery risk if not pre-specified. Data depend on incident reporting completeness; underreporting will bias frequency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