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Research Pipeline</w:t>
      </w:r>
    </w:p>
    <w:p>
      <w:r>
        <w:t xml:space="preserve"> </w:t>
      </w:r>
    </w:p>
    <w:p>
      <w:pPr>
        <w:pStyle w:val="Heading2"/>
      </w:pPr>
      <w:r>
        <w:t>Name</w:t>
      </w:r>
    </w:p>
    <w:p>
      <w:r>
        <w:t>analytical_errors_thai_red_cross</w:t>
      </w:r>
    </w:p>
    <w:p>
      <w:r>
        <w:t xml:space="preserve"> </w:t>
      </w:r>
    </w:p>
    <w:p>
      <w:pPr>
        <w:pStyle w:val="Heading2"/>
      </w:pPr>
      <w:r>
        <w:t>Title</w:t>
      </w:r>
    </w:p>
    <w:p>
      <w:r>
        <w:t>Retrospective multilevel and six-sigma analysis to quantify analytical errors across the total testing process in a Thai Red Cross Society general hospital (2021–2023)</w:t>
      </w:r>
    </w:p>
    <w:p>
      <w:r>
        <w:t xml:space="preserve"> </w:t>
      </w:r>
    </w:p>
    <w:p>
      <w:pPr>
        <w:pStyle w:val="Heading2"/>
      </w:pPr>
      <w:r>
        <w:t>Short Hypothesis</w:t>
      </w:r>
    </w:p>
    <w:p>
      <w:r>
        <w:t>Applying multilevel models and three-source capture–recapture to 2021–2023 laboratory records will show that pre-analytical phase errors constitute more than 50% of preventable laboratory errors.</w:t>
      </w:r>
    </w:p>
    <w:p>
      <w:r>
        <w:t xml:space="preserve"> </w:t>
      </w:r>
    </w:p>
    <w:p>
      <w:pPr>
        <w:pStyle w:val="Heading2"/>
      </w:pPr>
      <w:r>
        <w:t>Related Work</w:t>
      </w:r>
    </w:p>
    <w:p>
      <w:r>
        <w:t>Prior work has applied descriptive audits, six-sigma metrics (a quality metric that measures defects per million opportunities) and simple capture–recapture methods to estimate laboratory error rates. Multilevel models (statistical models that account for clustered data such as technicians and analyzers) have been used to control for hierarchical structure but are less common in operational error studies. Missing-data handling typically uses single-level MICE (multiple imputation by chained equations) without multilevel diagnostics or formal MNAR (missing not at random) escalation. Capture–recapture studies often rely on two-source log-linear estimators and can be biased when sources are dependent or linkage is imperfect. RCV (reference change value) and delta checks are used for change detection but frequently use external biological variation (BV) values without local calibration. Informatics and ETL provenance, and human-factors driven alert design, are underreported in prior studies, limiting reproducibility and operational rollout.</w:t>
      </w:r>
    </w:p>
    <w:p>
      <w:r>
        <w:t xml:space="preserve"> </w:t>
      </w:r>
    </w:p>
    <w:p>
      <w:pPr>
        <w:pStyle w:val="Heading2"/>
      </w:pPr>
      <w:r>
        <w:t>Abstract</w:t>
      </w:r>
    </w:p>
    <w:p>
      <w:r>
        <w:t>We will retrospectively analyze laboratory error records from 2021–2023 at a general hospital of the Thai Red Cross Society to quantify, by phase and specimen source, the types and frequency of analytical errors and estimate under-reporting. Methods combine descriptive rates, six-sigma defect metrics (measuring defects per million), multilevel negative-binomial models with random effects for analyzer and technician (to account for clustering), and capture–recapture (two- and three-source) to correct for incomplete reporting. Missing data will be handled with multilevel-MICE (m=20 primary, m=50 sensitivity) and a prespecified escalation to Bayesian MNAR models if diagnostics fail. We will compute RCV-based delta rules per assay using locked BV sources and local IQC-derived CVs. Simulations (seeded) will evaluate model-switching rules, operating characteristics, and alert PPV (positive predictive value) and burden. The main contribution is a reproducible, operational analytic plan that quantifies preventable error burdens, identifies dominant error sources, and produces prespecified metrics and gating rules to guide pilot deployment and quality improvement.</w:t>
      </w:r>
    </w:p>
    <w:p>
      <w:r>
        <w:t xml:space="preserve"> </w:t>
      </w:r>
    </w:p>
    <w:p>
      <w:pPr>
        <w:pStyle w:val="Heading2"/>
      </w:pPr>
      <w:r>
        <w:t>Experiments</w:t>
      </w:r>
    </w:p>
    <w:p>
      <w:r>
        <w:t>Datasets: (1) laboratory error records 2021–2023 (flag events, free-text reasons), (2) incident/QA reports, (3) IQC time-series (internal quality control), (4) instrument event logs and maintenance records, (5) LIS patient/test metadata. All linkable by pseudonymized specimen accession and ISO‑8601 datetimes. Reproducibility: seed=12345, Docker image with exact software versions stored in repo. Baselines: naive raw error counts; baseline capture estimate = two-source log-linear; baseline model = single-level negative-binomial without random effects; MI baseline = complete-case. Primary analyses: 1) Descriptive rates per 10,000 tests stratified by phase (pre-analytical, analytical, post-analytical) and specimen source. 2) Six-sigma metrics per assay (sigma metric = (bias allowable − bias)/CV where CV is coefficient of variation; report defects per million). 3) Multilevel negative-binomial models with random intercepts for analyzer_id and technician_id; report incidence rate ratios (IRRs) and 95% CIs. 4) Missing-data handling: multilevel-MICE (m=20) vs m=50 sensitivity; ablation: complete-case vs MICE vs Bayesian MNAR families (selection model, pattern-mixture, shared-parameter). For Bayesian MNAR, pre-specify weakly informative priors (normal(0,5) for coefficients, half-Cauchy(0,2.5) for SDs) and run posterior predictive checks (PPCs). 5) Capture–recapture: compare two-source log-linear, three-source log-linear with interaction terms, and hierarchical Bayesian capture–recapture; perform model selection via AIC/LRT for frequentist and WAIC/LOO for Bayesian; report bootstrap and posterior CIs. 6) Simulation study: 1,000 reps per scenario across NB dispersion k={0.5,1,5}, analyzer ICC={0.15,0.30}, technician ICC={0.05,0.15}, zero-inflation={0,20,50}%, varying mean rates; compute false-switch and false-stay probabilities for dispersion ratio thresholds and Vuong p-value cutoffs; publish operating-characteristic tables. 7) RCV/delta checks: compute RCV per assay using CV_analytical (IQC) and CV_within (EFLM locked then local estimates), test log-transform vs raw percent-delta rules; evaluate sensitivity/specificity for known error events. Evaluation metrics: error_rate_per_10k, sigma_metric, defects_per_million, IRR and CIs, corrected_error_rate (capture–recapture) with CI, PPV with bootstrap CI (14-day adjudication window), AIC/LRT, WAIC/LOO, Vuong p-values, false-switch/stay rates, and runtime/compute logs. Ablation studies: (A) MI method ablation (complete-case vs MICE vs Bayesian MNAR), (B) capture–recapture method ablation (two-source vs three-source; log-linear vs hierarchical Bayesian), (C) random-effects inclusion (multilevel vs single-level). All scripts seeded and containerized; heavy simulations parallelized across 16 cores; runtime per full simulation suite estimated and logged.</w:t>
      </w:r>
    </w:p>
    <w:p>
      <w:r>
        <w:t xml:space="preserve"> </w:t>
      </w:r>
    </w:p>
    <w:p>
      <w:pPr>
        <w:pStyle w:val="Heading2"/>
      </w:pPr>
      <w:r>
        <w:t>Risk Factors And Limitations</w:t>
      </w:r>
    </w:p>
    <w:p>
      <w:r>
        <w:t>Missingness: key variables may be MNAR (missing not at random), reducing validity of MAR-based imputations; Bayesian MNAR models can be weakly identified. Linkage error: deterministic linkage mistakes or missing keys can bias capture–recapture and rate denominators; misclassification can inflate or deflate corrected rates. Capture–recapture identifiability: three-source models may remain non-identifiable when dependencies are complex or when sparse cells occur. Human factors: alert changes may increase workload or cognitive burden and create unintended workflow disruptions. External validity: findings from a single hospital may not generalize to other settings with different workflows or assay mixes. BV and RCV limits: EFLM BV may not match local populations; local CV estimates may be unstable for low-volume assays. Computational: Bayesian MNAR and hierarchical Bayesian capture–recapture are compute-intensive and may require substantial runtime and memory. Governance and privacy: pseudonymization and data access restrictions may limit linkage completeness. Evaluation bias: retrospective adjudication for PPV may be affected by hindsight and reviewer subjectivity.</w:t>
      </w:r>
    </w:p>
    <w:p>
      <w: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