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triherbal_thromboinflammation_diabetic_rats</w:t>
      </w:r>
    </w:p>
    <w:p>
      <w:r>
        <w:t xml:space="preserve"> </w:t>
      </w:r>
    </w:p>
    <w:p>
      <w:pPr>
        <w:pStyle w:val="Heading2"/>
      </w:pPr>
      <w:r>
        <w:t>Title</w:t>
      </w:r>
    </w:p>
    <w:p>
      <w:r>
        <w:t>Evaluation of a standardized 1:1:1 aqueous extract of Moringa oleifera, Ocimum gratissimum and Vernonia amygdalina on FeCl3-induced arterial time-to-occlusion and thromboinflammatory blood markers in a diet+STZ diabetic rat model</w:t>
      </w:r>
    </w:p>
    <w:p>
      <w:r>
        <w:t xml:space="preserve"> </w:t>
      </w:r>
    </w:p>
    <w:p>
      <w:pPr>
        <w:pStyle w:val="Heading2"/>
      </w:pPr>
      <w:r>
        <w:t>Short Hypothesis</w:t>
      </w:r>
    </w:p>
    <w:p>
      <w:r>
        <w:t>Daily oral administration of a standardized 1:1:1 aqueous extract of Moringa oleifera, Ocimum gratissimum and Vernonia amygdalina at 150 mg/kg for 28 days will prolong FeCl3-induced arterial time-to-occlusion and reduce plasma markers of thromboinflammation in HFD+low-dose STZ diabetic rats compared with vehicle control.</w:t>
      </w:r>
    </w:p>
    <w:p>
      <w:r>
        <w:t xml:space="preserve"> </w:t>
      </w:r>
    </w:p>
    <w:p>
      <w:pPr>
        <w:pStyle w:val="Heading2"/>
      </w:pPr>
      <w:r>
        <w:t>Related Work</w:t>
      </w:r>
    </w:p>
    <w:p>
      <w:r>
        <w:t>Prior preclinical studies report that individual herbs and some multiherbal blends can reduce inflammation, platelet activation, or thrombosis markers in metabolic disease models. Existing approaches often use single-herb extracts, nonstandardized preparations, small cohorts, or single endpoint readouts (e.g., only platelet aggregation or only inflammatory cytokines). Limitations include poor chemical standardization across batches, sparse PK/PD linking of active markers to effects, inadequate control of multiple comparisons across many biomarkers, limited evaluation of sex differences, and scant assessment of herb–drug interactions or metabolite contributions. Many studies also lack regulator-style assay validation, formal sample size justification for functional endpoints like FeCl3 time-to-occlusion (TTO), and integrated histology quantified by validated digital pathology.</w:t>
      </w:r>
    </w:p>
    <w:p>
      <w:r>
        <w:t xml:space="preserve"> </w:t>
      </w:r>
    </w:p>
    <w:p>
      <w:pPr>
        <w:pStyle w:val="Heading2"/>
      </w:pPr>
      <w:r>
        <w:t>Abstract</w:t>
      </w:r>
    </w:p>
    <w:p>
      <w:r>
        <w:t>Thromboinflammation—combined clotting and immune activation—worsens vascular risk in diabetes. We will test whether a chemically standardized 1:1:1 aqueous blend of Moringa oleifera, Ocimum gratissimum, and Vernonia amygdalina reduces thromboinflammatory burden in a rat model of diet-induced insulin resistance plus low-dose streptozotocin (STZ). The primary functional measure is FeCl3-induced arterial time-to-occlusion (TTO), a timed assay where ferric chloride applied to an artery produces a thrombus and TTO is the time to vessel blockage. Secondary measures include thrombus weight/composition, bleeding time, thromboelastometry, thrombin generation, NET (neutrophil extracellular trap) markers, platelet activation, cytokines, and validated histology. The main contribution is a regulator-style, multipronged preclinical evaluation linking standardized phytochemical dosing, PK/PD of marker compounds, and mechanistic biomarkers to a blinded functional thrombosis endpoint. Expected outcome: demonstration of dose-dependent anti-thromboinflammatory activity of the standardized triherbal extract with linked marker exposures, informing translational safety and further development.</w:t>
      </w:r>
    </w:p>
    <w:p>
      <w:r>
        <w:t xml:space="preserve"> </w:t>
      </w:r>
    </w:p>
    <w:p>
      <w:pPr>
        <w:pStyle w:val="Heading2"/>
      </w:pPr>
      <w:r>
        <w:t>Experiments</w:t>
      </w:r>
    </w:p>
    <w:p>
      <w:r>
        <w:t>Animal model and groups: male and female Sprague–Dawley rats; induce diabetes with 8 weeks high-fat diet (HFD) + single low-dose STZ 35 mg/kg i.p.; require two consecutive glucose readings &gt;=16.7 mmol/L and raised HbA1c before randomization. Randomize and blind to treatments. Treatment arms (n=25/group pooled sexes, ~12F/13M): vehicle (0.5% CMC +0.1% Tween-80), aspirin 30 mg/kg PO (positive control), moringa extract 150 mg/kg, ocimum extract 150 mg/kg, vernonia extract 150 mg/kg, blended 1:1:1 extract at low 50, mid 150, high 450 mg/kg. Dosing: oral gavage qd for 28 days; full dose-response. Primary endpoint: FeCl3-induced arterial time-to-occlusion (TTO) measured by Doppler; define primary analysis as difference in mean TTO between blended mid-dose and vehicle. Secondary endpoints: thrombus weight, thrombus histologic composition (fibrin, platelets, NETs), bleeding time, ROTEM parameters, thrombin generation assay (TGA), plasma NETs (MPO–DNA, citH3), cytokine panel (IL-6, TNF-α, IL-1β), platelet function (LTA with ADP 5 µM, collagen 2 µg/mL; flow cytometry CD62P, activated GPIIb/IIIa), CBC, ALT/AST, creatinine, fibrinogen, D-dimer. PK/PD: dense satellite cohort n=6 for serial plasma sampling 0, 0.25, 0.5, 1, 2, 4, 8, 12, 24 h; sparse sampling in main cohort (n=3/timepoint composite). Phytochemistry: standardize batches by marker content (% w/w) with CV ≤15%; report dose as mg extract/kg and µg marker/kg. Baselines and timepoints: pre-diabetes baseline, pre-treatment (post-diabetes), day7, day14 (pre-dose and ~1–2 h post-dose), day28 (pre-dose and ~1–2 h post-dose), terminal post-FeCl3. Validation and analysis: assays validated with acceptance CV/intra-inter limits; primary analysis by mixed-effects model or ANCOVA adjusting baseline covariates; multiplicity: gatekeeping with TTO first, then thrombus weight/composition, bleeding time, ROTEM/TGA with Holm correction; exploratory biomarkers controlled by FDR. Comparisons/ablations: blended mid-dose vs vehicle; blended mid-dose vs each individual herb at same dose to test blend benefit; dose-response across blended doses; sensitivity analyses using conservative SD scenarios. Sample size/power artifacts: deliver power tables and pilot variance assumptions prior to start.</w:t>
      </w:r>
    </w:p>
    <w:p>
      <w:r>
        <w:t xml:space="preserve"> </w:t>
      </w:r>
    </w:p>
    <w:p>
      <w:pPr>
        <w:pStyle w:val="Heading2"/>
      </w:pPr>
      <w:r>
        <w:t>Risk Factors And Limitations</w:t>
      </w:r>
    </w:p>
    <w:p>
      <w:r>
        <w:t>Chemical variability: natural extract composition may vary across batches, limiting reproducibility. Multi-constituent PK complexity: multiple active compounds and metabolites can confound exposure–effect relationships and NLME modeling. Assay failures: ELISA, LC–MS/MS, or flow cytometry validation may not meet acceptance criteria, delaying study. Model variability: FeCl3 TTO and diabetic induction show inter-animal variability that may reduce power, especially for sex-specific effects. Herb–drug interactions: unknown inhibition of CYPs or transporters by extract components could affect safety or PK. Translational limits: rat results may not predict human efficacy or dose due to differences in metabolism and bioavailability. Ethical/welfare constraints: serial blood sampling and surgical thrombosis endpoints limit sample volumes and necessitate strict humane endpoints. Multiplicity and interpretation: many biomarkers increase false positive risk even with corrections; causal mediation inferences may be sensitive to unmeasured confounding. Resource limits: dense PK and broad biomarker panels require significant analytical capacity and cost, which may constrain sample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