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fcm_trust_cds</w:t>
      </w:r>
    </w:p>
    <w:p>
      <w:r>
        <w:t xml:space="preserve"> </w:t>
      </w:r>
    </w:p>
    <w:p>
      <w:pPr>
        <w:pStyle w:val="Heading2"/>
      </w:pPr>
      <w:r>
        <w:t>Title</w:t>
      </w:r>
    </w:p>
    <w:p>
      <w:r>
        <w:t>Quantifying perceived clinician trust in interpretable COVID-19 clinical decision support using fuzzy cognitive maps and degree-of-agreement validation</w:t>
      </w:r>
    </w:p>
    <w:p>
      <w:r>
        <w:t xml:space="preserve"> </w:t>
      </w:r>
    </w:p>
    <w:p>
      <w:pPr>
        <w:pStyle w:val="Heading2"/>
      </w:pPr>
      <w:r>
        <w:t>Short Hypothesis</w:t>
      </w:r>
    </w:p>
    <w:p>
      <w:r>
        <w:t>Providing explanations that are aligned to clinicians' mental models elicited with fuzzy cognitive maps (FCMs) increases clinicians' behavioral trust (higher accept and lower override rates) compared with non-aligned explanations, and this effect is mediated by perceived transparency and explanation fidelity.</w:t>
      </w:r>
    </w:p>
    <w:p>
      <w:r>
        <w:t xml:space="preserve"> </w:t>
      </w:r>
    </w:p>
    <w:p>
      <w:pPr>
        <w:pStyle w:val="Heading2"/>
      </w:pPr>
      <w:r>
        <w:t>Related Work</w:t>
      </w:r>
    </w:p>
    <w:p>
      <w:r>
        <w:t>Existing work measures perceived trust in AI using interpretable models, feature-attribution explanations, and self-report scales, and evaluates behavioral outcomes like acceptance or override. Common limitations are: (1) reliance on one-off self-report trust scales without grounding in clinicians' causal mental models; (2) limited quantification of alignment between system explanations and clinician mental models; (3) weak mediation analyses that do not temporally separate mediator measurement from decisions or use strong identification strategies; (4) ad hoc validation of generative counterfactuals used to test explanation stability; and (5) sparse reproducible calibration, governance, and multi-site clustered inference practices. These gaps leave open whether explanations that match clinicians' internal causal beliefs causally change trust, how to validate that match quantitatively, and how to operationalize safety gates for deployment.</w:t>
      </w:r>
    </w:p>
    <w:p>
      <w:r>
        <w:t xml:space="preserve"> </w:t>
      </w:r>
    </w:p>
    <w:p>
      <w:pPr>
        <w:pStyle w:val="Heading2"/>
      </w:pPr>
      <w:r>
        <w:t>Abstract</w:t>
      </w:r>
    </w:p>
    <w:p>
      <w:r>
        <w:t>We address the problem of measuring and validating clinicians' perceived trust in an interpretable machine-learning clinical decision support (CDS) tool for COVID-19 diagnosis. We propose a method that (1) elicits clinicians' causal mental models using fuzzy cognitive maps (FCMs) — simple directed graphs with weighted causal links representing clinician beliefs — (2) generates FCM-aligned, interpretable explanations for model outputs, and (3) quantifies agreement between clinician FCMs and system explanations via a degree-of-agreement metric. We evaluate causal effects of explanation type on behavioral trust and decision quality using randomized vignette-level assignments with temporal separation of mediator measurement and outcome, and an optional encouragement instrument for mediation checks. We also validate counterfactual generators (conditional normalizing flows and fallback CVAEs) with likelihood and realism diagnostics and use a composite plausibility score as a gating rule for automated acceptance. The main contribution is a reproducible pipeline to elicit, quantify, and causally test perceived trust in CDS, producing validated gating thresholds and mediation estimates that support safe, interpretable CDS deployment.</w:t>
      </w:r>
    </w:p>
    <w:p>
      <w:r>
        <w:t xml:space="preserve"> </w:t>
      </w:r>
    </w:p>
    <w:p>
      <w:pPr>
        <w:pStyle w:val="Heading2"/>
      </w:pPr>
      <w:r>
        <w:t>Experiments</w:t>
      </w:r>
    </w:p>
    <w:p>
      <w:r>
        <w:t>Datasets: (A) Pilot: 20–30 licensed clinicians across 2 sites, each seeing 60 randomized COVID-19 patient vignettes balanced for severity and uncertainty. (B) Definitive: 80–150 clinicians across 4 sites, same vignette bank. (C) Synthetic hold-out slices: 10,000 simulated mixed-type records for counterfactual benchmarking. Baselines: (1) no explanation, (2) generic static explanation, (3) standard feature-attribution explanation (ranked features), (4) FCM-aligned explanation (proposed). Randomization and design: within-subject randomization of explanation type per vignette; randomize vignette order; measure mediator signals (telemetry + brief plausibility item) immediately after explanation and before accept/override decision; optional encouragement arm: explanation prominence randomized 50/50. Metrics: behavioral trust = proportion of accepts (no override) per clinician; decision quality = diagnostic accuracy, sensitivity, specificity, F1; mediation = NDE/NIE estimated via multilevel g-computation and IPW with bootstrap 95% CI; IV diagnostics: first-stage F-statistic (flag if &lt;10) and compliance rate; degree-of-agreement = normalized similarity between clinician FCM vector and system explanation vector (cosine similarity or weighted overlap), reported with mean and SD; counterfactual diagnostics = held-out NLL, PIT KS p-value (&gt;0.05 pass), MMD two-sample test p-value (&gt;0.05 pass), realism-classifier AUC (target ≤0.75), sample entropy. Models and inference: multilevel logistic regressions with random intercepts for clinician and vignette; cluster-robust SEs; report ICCs; bootstrap for CIs. Ablations: (i) remove data_density component from composite plausibility, (ii) remove explanation_alignment, (iii) compare conditional normalizing flow vs CVAE vs MICE baseline for counterfactuals. Calibration and thresholds: derive composite weights and thresholds (deploy ≥0.7, review 0.5–0.7, block &lt;0.5) in pilot via ROC analysis predicting clinician plausibility labels; report operating points, false-safe alarm rate, and uncertainty intervals. Reproducibility: fixed random seeds, Docker containers, and published simulation notebooks; all analyses repeated on at least 1000 simulated trials for power estimation and robustness checks.</w:t>
      </w:r>
    </w:p>
    <w:p>
      <w:r>
        <w:t xml:space="preserve"> </w:t>
      </w:r>
    </w:p>
    <w:p>
      <w:pPr>
        <w:pStyle w:val="Heading2"/>
      </w:pPr>
      <w:r>
        <w:t>Risk Factors And Limitations</w:t>
      </w:r>
    </w:p>
    <w:p>
      <w:r>
        <w:t>1) FCM elicitation error: clinicians may express incomplete or inconsistent causal maps; elicited FCMs may not fully represent mental models, producing noisy alignment measures. 2) Unmeasured mediator–outcome confounding: sequential ignorability may be violated if unmeasured factors influence both mediator signals and the decision, biasing mediation estimates. 3) Weak instrument risk: encouragement may produce low compliance, reducing IV precision and identification. 4) Counterfactual generator failure modes: generative models may produce unrealistic counterfactuals under heavy missingness or distribution shift, invalidating data_density diagnostics. 5) Small-sample and clustering limits: pilot sizes may limit precision for mediation and subgroup analysis; ICCs larger than expected will reduce effective sample size. 6) Clinician burden and ecological validity: washout times, think-aloud protocols, or physiological sensors may alter behavior or be infeasible in busy clinical settings. 7) Generalization limits: results from COVID-19 vignettes and participating sites may not generalize to other diseases, settings, or clinician populations. 8) Privacy and re-identification: telemetry and physiological signals carry re-identification risk that may constrain data sharing and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