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hierarchical_occlusion_xai_mri</w:t>
      </w:r>
    </w:p>
    <w:p>
      <w:r>
        <w:t xml:space="preserve"> </w:t>
      </w:r>
    </w:p>
    <w:p>
      <w:pPr>
        <w:pStyle w:val="Heading2"/>
      </w:pPr>
      <w:r>
        <w:t>Title</w:t>
      </w:r>
    </w:p>
    <w:p>
      <w:r>
        <w:t>Hierarchical occlusion and ensemble explainable AI for MRI diagnostic support of distal myopathies</w:t>
      </w:r>
    </w:p>
    <w:p>
      <w:r>
        <w:t xml:space="preserve"> </w:t>
      </w:r>
    </w:p>
    <w:p>
      <w:pPr>
        <w:pStyle w:val="Heading2"/>
      </w:pPr>
      <w:r>
        <w:t>Short Hypothesis</w:t>
      </w:r>
    </w:p>
    <w:p>
      <w:r>
        <w:t>Combining a hierarchical occlusion technique with an ensemble of XAI methods will increase lesion localization performance (IoU@0.5) by at least 5 percentage points and lesion-wise sensitivity by at least 5% versus the best single XAI method, and will improve clinician-calibrated confidence as measured by reduced expected calibration error (ECE) on multi-site MRI of distal myopathies.</w:t>
      </w:r>
    </w:p>
    <w:p>
      <w:r>
        <w:t xml:space="preserve"> </w:t>
      </w:r>
    </w:p>
    <w:p>
      <w:pPr>
        <w:pStyle w:val="Heading2"/>
      </w:pPr>
      <w:r>
        <w:t>Related Work</w:t>
      </w:r>
    </w:p>
    <w:p>
      <w:r>
        <w:t>Existing work applies single-family XAI (gradient-based, relevance propagation, or perturbation-based) to MRI models to visualize salient regions and sometimes to improve lesion localization metrics. Prior studies show that different XAI families emphasize different signal components, that perturbation methods can be more faithful but are computationally expensive, and that gradient methods are fast but can be noisy. Limitations in current approaches include inconsistent preprocessing and baselines across methods, lack of systematic ensembles that combine complementary explanations, insufficient evaluation against realistic ground truth (limited phantom/physics-based validation), little integration of OOD detection and conformal abstention, sparse clinician-centered evaluation, and often no mapping of adversarial budgets to clinically meaningful units. These gaps reduce reproducibility and clinical trust and leave open whether combined XAI strategies yield reliably better, clinician-useful explanations.</w:t>
      </w:r>
    </w:p>
    <w:p>
      <w:r>
        <w:t xml:space="preserve"> </w:t>
      </w:r>
    </w:p>
    <w:p>
      <w:pPr>
        <w:pStyle w:val="Heading2"/>
      </w:pPr>
      <w:r>
        <w:t>Abstract</w:t>
      </w:r>
    </w:p>
    <w:p>
      <w:r>
        <w:t>We address whether combining a hierarchical occlusion technique with an ensemble of complementary explainable AI (XAI) methods yields more accurate, interpretable visual explanations for an MRI diagnostic support model for distal myopathies. We propose to generate per-case explanations from multiple XAI families (gradient-based, relevance propagation, perturbation-based, and concept-level tests), apply a hierarchical occlusion that evaluates importance at nested anatomical scales, and fuse method outputs into a clinician-oriented ensemble visualization. The main contribution is an auditable evaluation pipeline that compares ensemble explanations to single-method baselines using physics-validated synthetic lesions, multi-vendor clinical MRI, adversarial tests mapped to clinical units, and structured radiologist feedback. We pre-register thresholds, conformal abstention rules, and site-aware calibration to assess practical deployment behavior. Expected outcome: a reproducible demonstration of whether and how hierarchical occlusion plus ensemble XAI improves localization metrics, explanation fidelity, and clinician trust for MRI-based diagnosis of distal myopathies.</w:t>
      </w:r>
    </w:p>
    <w:p>
      <w:r>
        <w:t xml:space="preserve"> </w:t>
      </w:r>
    </w:p>
    <w:p>
      <w:pPr>
        <w:pStyle w:val="Heading2"/>
      </w:pPr>
      <w:r>
        <w:t>Experiments</w:t>
      </w:r>
    </w:p>
    <w:p>
      <w:r>
        <w:t>Datasets: (1) Multi-site clinical MRI dataset of distal myopathy cases spanning ≥6 sites and vendors (Siemens Prisma, GE Discovery, Philips Achieva) with T1 pre/post, T2, FLAIR, optional DWI; (2) physics-based phantom scans (≥5 repeats per phantom); (3) physics-informed synthetic lesions matched to site parameter distributions. Baselines: (A) model predictions with no explanation; (B) single XAI methods: Grad-CAM++, Integrated Gradients + SmoothGrad, LRP variant, RISE, insertion/deletion, occlusion, DeepSHAP, TCAV concept scores; (C) flat occlusion (single-scale) and simple averaging ensembles. Proposed methods: hierarchical occlusion + ensemble fusion. Experimental protocol: nested cross-validation with outer-site holdouts (reserve ≥3 unseen sites); inner folds for threshold tuning; per-site 60/20/20 train/calibration/test splits for conformal sets. Evaluation metrics: localization IoU@0.5, pointing-game (peak-in-mask), hit-rate@3mm for lesions &lt;3 mm, lesion-wise sensitivity at FP/image = 0.25/0.5/1.0 (FROC), insertion/deletion AUC, explanation stability (rank correlation under small preprocess perturbations), calibration error (ECE), conformal coverage pre/post-abstention, OOD AUROC, adversarial degradation (model accuracy and explanation IoU under L_inf budgets 0.01 and 0.03, spatial translations 1–3 mm, rotations ≤5°). Radiologist study: within-subject randomized crossover with ~30 radiologists across sites measuring lesion detection accuracy, time-to-read, NASA-TLX, and trust questionnaire; each case shown with one explanation type per round. Ablations: (1) ensemble vs best single method; (2) hierarchical occlusion vs flat occlusion; (3) with vs without probabilistic ground-truth propagation (Monte Carlo masks, N≥1000); (4) with vs without conformal abstention and OOD recalibration. Statistical analysis: lesion-level mixed-effects models with case and reader random effects, paired contrasts across methods, Holm-adjusted p-values, target power calibrated to ~1,200 lesions.</w:t>
      </w:r>
    </w:p>
    <w:p>
      <w:r>
        <w:t xml:space="preserve"> </w:t>
      </w:r>
    </w:p>
    <w:p>
      <w:pPr>
        <w:pStyle w:val="Heading2"/>
      </w:pPr>
      <w:r>
        <w:t>Risk Factors And Limitations</w:t>
      </w:r>
    </w:p>
    <w:p>
      <w:r>
        <w:t>Ground-truth limits: synthetic and phantom fidelity may not capture all clinical variation and may bias XAI ranking. Small-lesion instability: IoU and other overlap metrics are noisy for lesions near voxel size; alternative metrics may diverge from clinical significance. Exchangeability violations: conformal guarantees assume exchangeability within strata; site heterogeneity or small strata sizes can invalidate coverage. Computational cost: perturbation-based XAI and adversarial tests increase compute by multiple times and may limit scaling. Clinician variability: radiologist trust and use of explanations are heterogeneous, limiting generalization. Privacy and release risk: synthetic data and explanation outputs may still leak information without rigorous privacy checks. Adversarial scope: mapped adversarial budgets may not cover all realistic attack modes or worst-case distributional shifts. Generalization: methods tuned for distal myopathies and specified sequences may not transfer to other pathologies or protocols without retuning.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