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(SASNet) for semi-supervised medical image segmentation under limited annotations</w:t>
      </w:r>
    </w:p>
    <w:p>
      <w:r>
        <w:t xml:space="preserve"> </w:t>
      </w:r>
    </w:p>
    <w:p>
      <w:pPr>
        <w:pStyle w:val="Heading2"/>
      </w:pPr>
      <w:r>
        <w:t>Short Hypothesis</w:t>
      </w:r>
    </w:p>
    <w:p>
      <w:r>
        <w:t>A dual-branch network that applies scale-aware adaptive pixel-wise reweighting, 3D Fourier-domain view-variance augmentation, and segmentation–regression consistency using signed distance maps will produce at least a 0.02 absolute Dice improvement and a ≥0.03 reduction in Expected Calibration Error (ECE) over a mean-teacher baseline trained with standard augmentations when only 10–30% labels are available.</w:t>
      </w:r>
    </w:p>
    <w:p>
      <w:r>
        <w:t xml:space="preserve"> </w:t>
      </w:r>
    </w:p>
    <w:p>
      <w:pPr>
        <w:pStyle w:val="Heading2"/>
      </w:pPr>
      <w:r>
        <w:t>Related Work</w:t>
      </w:r>
    </w:p>
    <w:p>
      <w:r>
        <w:t>Existing semi-supervised segmentation methods use teacher-student (mean-teacher) paradigms, pseudo-labeling, uncertainty estimation (MC-dropout or ensembles), and boundary-aware losses. Common weaknesses are: (1) static pseudo-label thresholds that ignore lesion size and organ scale, causing missed small lesions or noisy labels; (2) limited modeling of annotation/view variability — most augmentations act in image space and do not simulate realistic 3D frequency-domain view changes; (3) boundary precision is often poor since many losses focus on region overlap (Dice) rather than geometric distance; (4) calibration and uncertainty are evaluated but not integrated into per-pixel adaptive weighting; (5) existing approaches rarely combine scale-aware weighting, simulated annotation variance, and signed-distance consistency in a unified optimization. These limitations leave small-lesion sensitivity, boundary fidelity, and reliable confidence estimates under annotation scarcity unresolved.</w:t>
      </w:r>
    </w:p>
    <w:p>
      <w:r>
        <w:t xml:space="preserve"> </w:t>
      </w:r>
    </w:p>
    <w:p>
      <w:pPr>
        <w:pStyle w:val="Heading2"/>
      </w:pPr>
      <w:r>
        <w:t>Abstract</w:t>
      </w:r>
    </w:p>
    <w:p>
      <w:r>
        <w:t>We address semi-supervised medical image segmentation when only a small fraction of scans have expert annotations. We propose SASNet, a dual-branch architecture that fuses low-level and high-level features and integrates three mechanisms: (1) scale-aware adaptive reweighting that uses temporal confidence accumulation to weight pixel predictions by organ and lesion size (scale-aware means the model treats small and large structures differently); (2) view-variance enhancement via 3D Fourier-domain transforms that simulate realistic annotation and view variability in frequency space (the Fourier domain manipulates patterns by their spatial frequencies); and (3) segmentation–regression consistency that enforces agreement between segmentation masks and signed distance maps (a signed distance map encodes distance to the boundary, positive inside, negative outside). The main contribution is a unified training objective that combines spatial, temporal, and geometric consistency to improve small-lesion detection, boundary precision, and uncertainty calibration under limited labels. We expect SASNet to increase lesion-level Dice and reduce calibration error relative to standard semi-supervised baselines on representative 3D clinical datasets.</w:t>
      </w:r>
    </w:p>
    <w:p>
      <w:r>
        <w:t xml:space="preserve"> </w:t>
      </w:r>
    </w:p>
    <w:p>
      <w:pPr>
        <w:pStyle w:val="Heading2"/>
      </w:pPr>
      <w:r>
        <w:t>Experiments</w:t>
      </w:r>
    </w:p>
    <w:p>
      <w:r>
        <w:t>Datasets: two 3D medical segmentation datasets with differing modalities and lesion sizes, for example: (A) brain tumor MRI dataset with multi-class tumor labels; (B) liver CT lesion dataset. Each dataset will be split into stratified paired folds preserving organ and lesion-size deciles. Label budgets: experiments with 10%, 20%, and 30% labeled volumes; remaining volumes unlabeled. Baselines: (1) supervised-only trained on labeled subset; (2) standard mean-teacher semi-supervised with naive pseudo-label thresholding; (3) mean-teacher + MC-dropout calibration; (4) deep-ensemble baseline (M=3); (5) a variant using signed distance loss only. Metrics: voxel-wise Dice per organ/structure, lesion-wise sensitivity and precision (lesion matching via IoU Hungarian assignment with IoU≥0.30; centroid fallback for lesions &lt;50 voxels), lesion-FROC (free-response ROC), boundary metrics: 95% Hausdorff distance and boundary F1, calibration metrics: ECE with equal-frequency 10 bins (explain: ECE is the average difference between predicted confidence and observed accuracy), Brier score, calibration-in-the-large (intercept) and slope. Statistical reporting: paired 5-fold cross-validation stratified by lesion size; 5,000 bootstrap resamples for 95% CIs; report per-organ p-values with Holm correction. Training setup: 3D dual-branch network trained on patches 64^3, Adam optimizer, base LR=1e-4, batch size adjusted for GPU memory; mixed precision enabled. Uncertainty settings: MC-dropout T candidates {10,20,50}; ensembles M candidates {3,5}; measure runtime cost per candidate. Ablations and comparisons: (A) full SASNet vs baseline mean-teacher; (B) ablate adaptive reweighting (replace with global threshold); (C) ablate 3D Fourier augmentation (replace with standard spatial augmentations); (D) ablate SDF consistency (segmentation-only loss); (E) vary pseudo-label strategy: hard acceptance vs soft-weight schedule; (F) vary EMA α ∈ {0.99,0.995,0.999} and loss weights {0.7/0.3,0.6/0.4,0.5/0.5}. Evaluation procedure: reserve a calibration fold not used for hyperparameter tuning; run each configuration for 5 seeds, compute paired differences against mean-teacher baseline, test hypothesis of ≥0.02 Dice improvement using paired t-test and paired bootstrap if normality fails. Produce calibration vs runtime decision table comparing (T,M) options.</w:t>
      </w:r>
    </w:p>
    <w:p>
      <w:r>
        <w:t xml:space="preserve"> </w:t>
      </w:r>
    </w:p>
    <w:p>
      <w:pPr>
        <w:pStyle w:val="Heading2"/>
      </w:pPr>
      <w:r>
        <w:t>Risk Factors And Limitations</w:t>
      </w:r>
    </w:p>
    <w:p>
      <w:r>
        <w:t>Technical failure modes: adaptive reweighting may overweight noisy teacher predictions causing confirmation bias; temporal confidence accumulation can still drift if teacher collapses. Data and annotation biases: limited labeled sets may not represent scanner or site variability, causing poor external generalization. Small-lesion sparsity: very rare lesion classes may have unstable estimates and high variance. Evaluation bias: lesion-matching thresholds (IoU≥0.30) and centroid rules affect reported lesion sensitivity; results depend on these choices. Compute and scalability: 3D Fourier augmentation and ensemble/MC evaluation increase compute and memory needs; large-scale runs may be costly. Reproducibility: mixed precision and some CUDA/cuDNN ops can be nondeterministic; runs may show small numeric variability (e.g., ±0.01 Dice). Safety limitation: improved metrics do not guarantee clinical safety; false negatives on critical small lesions remain a clinical risk. Generalization: method tuned on two modalities may not transfer to all anatomies without per-site 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