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cmrxmotion_motion_severity</w:t>
      </w:r>
    </w:p>
    <w:p>
      <w:r>
        <w:t xml:space="preserve"> </w:t>
      </w:r>
    </w:p>
    <w:p>
      <w:pPr>
        <w:pStyle w:val="Heading2"/>
      </w:pPr>
      <w:r>
        <w:t>Title</w:t>
      </w:r>
    </w:p>
    <w:p>
      <w:r>
        <w:t>Motion-aware deep-learning pipeline for robust myocardial segmentation and automated image-quality assessment in cardiac cine MRI under respiratory motion</w:t>
      </w:r>
    </w:p>
    <w:p>
      <w:r>
        <w:t xml:space="preserve"> </w:t>
      </w:r>
    </w:p>
    <w:p>
      <w:pPr>
        <w:pStyle w:val="Heading2"/>
      </w:pPr>
      <w:r>
        <w:t>Short Hypothesis</w:t>
      </w:r>
    </w:p>
    <w:p>
      <w:r>
        <w:t>Including an image-derived peak-to-peak diaphragm displacement scalar and motion-informed data augmentation during model training reduces LVEF estimation error by at least 5 percentage points compared to models trained without motion information when evaluated on cardiac cine MRI scans with moderate-to-severe respiratory motion.</w:t>
      </w:r>
    </w:p>
    <w:p>
      <w:r>
        <w:t xml:space="preserve"> </w:t>
      </w:r>
    </w:p>
    <w:p>
      <w:pPr>
        <w:pStyle w:val="Heading2"/>
      </w:pPr>
      <w:r>
        <w:t>Related Work</w:t>
      </w:r>
    </w:p>
    <w:p>
      <w:r>
        <w:t>Prior work focuses on three areas: automated image-quality assessment (IQA) to flag motion artifacts, deep-learning myocardial segmentation on cine MRI, and synthetic or physics-based data augmentation to simulate motion. IQA methods typically classify images by artifact severity but often use clinical datasets without controlled, measured motion and thus cannot calibrate severity quantitatively. Segmentation networks (for example U-Net variants) perform well on clean data but their performance degrades under motion; many papers use ad-hoc augmentation or train on mixed-quality data without rigorous stratified evaluation. Motion simulation and k-space artifact injection methods exist to create synthetic motion, but they often lack validated priors or per-breath realism and are not reproducible across centers. Limitations: absence of a public, controlled-motion dataset with ground-truth motion; insufficient validation of simulated priors against navigator traces; evaluation pipelines rarely fold in inter-reader variability, equivalence testing (TOST), or reproducible YAML fixtures. These gaps prevent reliable assessment of robustness to respiratory motion.</w:t>
      </w:r>
    </w:p>
    <w:p>
      <w:r>
        <w:t xml:space="preserve"> </w:t>
      </w:r>
    </w:p>
    <w:p>
      <w:pPr>
        <w:pStyle w:val="Heading2"/>
      </w:pPr>
      <w:r>
        <w:t>Abstract</w:t>
      </w:r>
    </w:p>
    <w:p>
      <w:r>
        <w:t>Respiratory motion during cardiac cine MRI creates motion artifacts that degrade automated myocardial segmentation and clinical measures such as left ventricular ejection fraction (LVEF). We propose a motion-aware deep-learning pipeline that (1) extracts a reproducible, image-derived scalar of respiratory motion (median peak-to-peak diaphragm displacement), (2) uses validated motion and artifact priors to generate seeded, reproducible data augmentations in k-space, and (3) trains segmentation and reconstruction networks conditioned on the motion scalar. The main contribution is an end-to-end, auditable benchmark combining a controlled-motion dataset, seeded YAML priors for artifact simulation, and formal equivalence/non-inferiority testing (TOST) for clinical metrics. Expected outcome: models trained with explicit motion information will produce smaller LVEF bias, higher segmentation accuracy under moderate-to-severe motion, and calibrated motion severity estimates, enabling reproducible benchmarking of motion robustness across centers.</w:t>
      </w:r>
    </w:p>
    <w:p>
      <w:r>
        <w:t xml:space="preserve"> </w:t>
      </w:r>
    </w:p>
    <w:p>
      <w:pPr>
        <w:pStyle w:val="Heading2"/>
      </w:pPr>
      <w:r>
        <w:t>Experiments</w:t>
      </w:r>
    </w:p>
    <w:p>
      <w:r>
        <w:t>Datasets: (a) CMRxMotion controlled-motion cine MRI dataset with N≈150 labelled studies stratified into mild (5–10 mm), moderate (11–20 mm), severe (21–40 mm) diaphragm displacement; (b) held-out clinical cohort with synchronized respiratory belt or navigator traces (N≈50); (c) MR-XCAT phantoms with known motion ground truth; (d) external multi-vendor subset (UK Biobank / M&amp;Ms style) for generalization. Baselines: (1) standard segmentation model trained on original data (baseline_unet), (2) baseline + generic augmentation (noise/affine), (3) baseline + motion-augmented images using ad-hoc priors, (4) proposed motion-aware model: segmentation network conditioned on motion scalar + motion-prior k-space augmentation, (5) motion-aware model with explicit motion-estimation branch (joint reconstruction+motion). Metrics: LVEF bias and RMSE (percent points), Dice coefficient for LV endocardium/epicardium, 95% Hausdorff distance (mm), motion metric RMSE vs belt (mm), Bland–Altman limits, two-way mixed ICC, and calibration curves. Statistical tests: non-inferiority/TOST for LVEF with Δ=5 pp, equivalence TOST for motion metric with δ=±2 mm; bootstrap TOST with 10,000 resamples stratified by center and motion tier for non-normal cases. Experimental setup: stratified 5-fold cross-validation ensuring motion-tier balance; reserve an external holdout for final evaluation. Ablations: (A) remove motion scalar conditioning, (B) replace validated priors with simpler priors, (C) ablate motion-estimation branch, (D) vary augmentation intensity across YAML priors. Reporting: per-fold averages, 95% CIs (bootstrap), and per-stratum results. Sample-size plan: per stratum N≥50 to meet power targets per published tables. All code, YAML fixtures, seeds, and container manifests will be published for reproducibility.</w:t>
      </w:r>
    </w:p>
    <w:p>
      <w:r>
        <w:t xml:space="preserve"> </w:t>
      </w:r>
    </w:p>
    <w:p>
      <w:pPr>
        <w:pStyle w:val="Heading2"/>
      </w:pPr>
      <w:r>
        <w:t>Risk Factors And Limitations</w:t>
      </w:r>
    </w:p>
    <w:p>
      <w:r>
        <w:t>Simulation realism: YAML priors may not fully capture real, center-specific k-space artifacts or complex B0 dynamics, causing a gap between synthetic and true motion. Inter-reader variability: manual LVEF/volume labels have reader noise that inflates variance and can mask model differences. Small adjudicated set: the 20-case adjudicated reference is limited and may not represent all pathologies or vendors. Vendor/generalization: models trained on specific vendors/field strengths may not generalize to other scanners. Statistical assumptions: TOST and parametric tests assume exchangeability or normality; small sample sizes or skewed differences may require heavy bootstrap reliance. GPU nondeterminism: CUDA/cuDNN non-determinism can cause run-to-run numeric differences; CI must tolerate small numeric drift. Computational cost: joint reconstruction and motion estimation increases runtime and GPU memory, limiting throughput. Data access &amp; privacy: licensing and PHI constraints may limit external validation and sharing of full-resolution DICOM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