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memory_wavelet_ultrasound_seg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Memory-bank and wavelet-based network for segmentation of long ultrasound videos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wavelet-based convolutions with a long-short-term memory bank and a calibrated write-gate will increase per-video median Dice and reduce temporal Dice variance for small cardiac structures in long ultrasound videos compared to a baseline UNet trained on the same data.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has used wavelet transforms inside convolutional networks to emphasize high-frequency image content (edges and fine details), and separate works have used memory banks or recurrent modules to capture temporal context in video segmentation. Optical-flow and learned flow models (e.g., RAFT) are commonly used to align frames before temporal fusion; phase-based transforms such as dual-tree complex wavelet transform (DT-CWT) have been proposed for low-cost, phase-stable alignment. Synthetic data with differential privacy and memory-efficient containers have also been explored for clinical imaging. Limitations remain: many methods process short clips and fail to model long-term dependencies across hundreds of frames; wavelet approaches are often applied only spatially and not integrated with long-term memory; alignment choices trade accuracy for latency and memory without direct mapping to clinical measurement bias; synthetic DP training often degrades task utility and is computationally heavy; and few pipelines tie segmentation accuracy to downstream clinical measures or provide calibrated uncertainty and write‑gate behavior for human triage.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segmentation of long ultrasound videos where long-range temporal context and high-frequency fine structures (small cardiac chambers and septa) are critical. We propose a network that fuses multi-scale spatial wavelet features with a long-short-term memory bank that stores and retrieves spatiotemporal features across long video spans; a calibrated write-gate decides when to store new memory states. The main contribution is the combined architecture that (1) emphasizes high-frequency bands for small-object detail via wavelet convolutions and (2) models long-term dependencies via a memory bank to improve temporal consistency. We evaluate alignment methods (learned flow vs phase-based DT-CWT) and measure downstream clinical metrics (chamber volumes, septal thickness) and uncertainty-based triage rates. We expect higher median per-video Dice, lower temporal variance, and improved clinical measurement accuracy relative to baselines, with explicit operating points for alignment choice and privacy-aware synthetic-data experiments.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Multi-vendor long ultrasound video corpus of 120–150 videos (600–1000 frames each), gold-standard subset of 30 fully annotated videos (3–5 expert annotators fused), calibration set of 10 annotated videos, and a synthetic proxy set of 30 sequences (200 frames, 256×256) with per-frame masks and metadata. Splits: patient-level splits, outer leave-one-site-out holdout, nested cross-validation for hyperparameter tuning. Baselines: (A) UNet baseline (per-frame), (B) UNet + 2D DWT (wavelet convolutions only), (C) UNet + MemoryBank (memory only), (D) proposed Memory+Wavelet+write-gate. Alignment variants: RAFT-small (learned flow) and DT-CWT phase-correlation (phase-based). Ablations: remove wavelet branch, remove memory bank, replace calibrated write-gate with always-write and never-write, vary temporal DWT levels, and alignment choice. Metrics: primary — per-video median Dice (paired); secondary — per-frame IoU, 95th-percentile Hausdorff distance (boundary error in pixels), temporal Dice variance, chamber-volume RMSE (mm), septal-thickness RMSE (mm), intraclass correlation coefficient (ICC) for derived measures, expected calibration error (ECE) for uncertainty, triage rate (fraction of frames above entropy threshold), post-warp residual energy and endpoint error (EPE) for alignment, latency (ms/frame) and memory (MB). Statistical tests: paired Wilcoxon signed-rank for primary comparisons, bootstrap confidence intervals (B=2000) for effect sizes, Holm-Bonferroni correction across pre-registered families; report permutation test p-values as sensitivity. Hyperparameters and calibration: nested Bayesian optimization over α∈{0.2,0.35,0.5,0.65,0.8}, β∈{0.1,0.2,0.3,0.4,0.6}, γ∈{0.0,0.1,0.2,0.3,0.4}; entropy triage sweep 0.30–0.70 step 0.05; IoU reject {0.75,0.80,0.85,0.90}. DP and synthetic experiments: train conditional diffusion models with ε∈{0.5,1.0,2.0,5.0,∞} (δ=1e-5) and report FID, train-on-synth→test-on-real IoU, and clinical RMSE; if DP training infeasible report DP-on-feature-extractor results. Alignment mini-experiment: for motion bins small &lt;3 px, medium 3–15 px, large &gt;15 px measure Dice loss delta vs baseline, post-warp residual, latency, memory; apply decision rule preferring DT-CWT when Dice loss ≤0.01 and latency ≤0.5× RAFT or memory &lt;0.6× RAFT. Compute budget: pilot ~240 GPU-hours, report per-run seeds and deterministic settings, and publish container image tag for reproducibility.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Statistical and inference limits: Dice and derived clinical metrics are bounded and non-Gaussian; bootstrap and nonparametric tests may show larger sample needs than parametric estimates. DP and synthetic data: training DP diffusion models can substantially reduce visual and task utility and requires high compute; synthetic-to-real domain gap may limit transfer. Alignment: DT-CWT may fail for very large inter-frame motion or plane changes; learned flow may have higher latency and memory. Annotation and label bias: inter-annotator variability and consensus fusion errors can bias evaluation; calibration of entropy→mm error may be unstable with few gold frames. Generalization: vendor, probe type, frame-rate, gestational-age, and body-habitus variation may produce domain gaps not covered by training strata. Compute and scalability: memory bank and multi-scale wavelet branches increase model size and inference memory; real-time or low-latency constraints may not be met on constrained hardware. Reproducibility: deterministic GPU settings can change speed and numerical behavior; exact bitwise reproducibility across hardware is not guaranteed. Operational: delays in gold annotations or site data availability reduce statistical power and may force reduced strata or reliance on synthetic proxies.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