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disentangled_anatomy_pseudo_healthy_detection</w:t>
      </w:r>
    </w:p>
    <w:p>
      <w:r>
        <w:t xml:space="preserve"> </w:t>
      </w:r>
    </w:p>
    <w:p>
      <w:pPr>
        <w:pStyle w:val="Heading2"/>
      </w:pPr>
      <w:r>
        <w:t>Title</w:t>
      </w:r>
    </w:p>
    <w:p>
      <w:r>
        <w:t>Unsupervised anomaly detection in brain MRI using disentangled anatomy representation and edge-to-image pseudo‑healthy reconstruction</w:t>
      </w:r>
    </w:p>
    <w:p>
      <w:r>
        <w:t xml:space="preserve"> </w:t>
      </w:r>
    </w:p>
    <w:p>
      <w:pPr>
        <w:pStyle w:val="Heading2"/>
      </w:pPr>
      <w:r>
        <w:t>Short Hypothesis</w:t>
      </w:r>
    </w:p>
    <w:p>
      <w:r>
        <w:t>Constraining a disentangled latent representation that separates anatomy from imaging-specific factors and reconstructing pseudo-healthy MRIs from high-frequency edge cues reduces false positives and increases per-lesion sensitivity compared to standard reconstruction baselines trained only on normal images.</w:t>
      </w:r>
    </w:p>
    <w:p>
      <w:r>
        <w:t xml:space="preserve"> </w:t>
      </w:r>
    </w:p>
    <w:p>
      <w:pPr>
        <w:pStyle w:val="Heading2"/>
      </w:pPr>
      <w:r>
        <w:t>Related Work</w:t>
      </w:r>
    </w:p>
    <w:p>
      <w:r>
        <w:t>Existing unsupervised MRI anomaly detection methods commonly use reconstruction (autoencoders, VAEs) or generative models (GANs) to detect outliers by comparing input vs reconstructed images; some methods synthesize pseudo-healthy images or use disentangled representations to separate shape and appearance. Prior approaches suffer from several issues: anatomy latents can leak pathology cues (so reconstructions hide lesions imperfectly), generated pseudo-healthy images often lose fine structural detail, models trained on a single site or modality generalize poorly across scanners and centers, and evaluation lacks rigorous spatial calibration and identifiability tests. Work that uses anatomical priors or registration improves alignment but often depends on heavy supervision or brittle atlases. Few prior systems provide per-site conformal calibration, explicit leakage/identifiability metrics, or edge-driven restoration to preserve high-frequency structures.</w:t>
      </w:r>
    </w:p>
    <w:p>
      <w:r>
        <w:t xml:space="preserve"> </w:t>
      </w:r>
    </w:p>
    <w:p>
      <w:pPr>
        <w:pStyle w:val="Heading2"/>
      </w:pPr>
      <w:r>
        <w:t>Abstract</w:t>
      </w:r>
    </w:p>
    <w:p>
      <w:r>
        <w:t>We address unsupervised detection of brain anomalies in MRI by learning a disentangled representation that separates stable anatomy from imaging-specific factors, then reconstructing high-quality pseudo-healthy images from edge-derived anatomical cues. The method has two modules: (1) a constrained disentanglement encoder that produces a discrete anatomy code and continuous imaging latents, guided by anatomical priors and a differentiable one-hot encoding operator (one-hot means discrete map per tissue/region); (2) an edge-to-image restoration decoder that maps high-frequency edge cues back to image space and recouples imaging latents to produce voxel-accurate pseudo-healthy reconstructions. The anomaly score is derived from spatial residuals between input and reconstructed pseudo-healthy images and calibrated per site using cluster-wise conformal methods. Main contributions are (a) an anatomy-constrained disentanglement pipeline with a differentiable discrete anatomy code, (b) an edge-driven restoration that preserves structure while suppressing abnormal residuals, and (c) a pre-registered evaluation suite including leakage, identifiability, sim-to-real, and uncertainty calibration metrics. Expected outcome: improved per-lesion sensitivity and lower false positive rates across modalities and centers.</w:t>
      </w:r>
    </w:p>
    <w:p>
      <w:r>
        <w:t xml:space="preserve"> </w:t>
      </w:r>
    </w:p>
    <w:p>
      <w:pPr>
        <w:pStyle w:val="Heading2"/>
      </w:pPr>
      <w:r>
        <w:t>Experiments</w:t>
      </w:r>
    </w:p>
    <w:p>
      <w:r>
        <w:t>Datasets: train only on normal scans drawn from multi-center cohorts (per-site normals n_train ≈ 1000 where available, reserve N_calib=300 normals per scanner for calibration); evaluate on (1) BraTS test partition for tumors (held-out), (2) ISLES test partition for stroke (held-out), (3) multi-site retrospective test sets across 3 vendors (each vendor test N≈500, containing ≥250 lesions stratified by size), and (4) a prospective blind pilot of 200 consecutive clinical brain MRIs from a separate site/vendors. Baselines: 1) vanilla convolutional autoencoder (AE) reconstruction, 2) VAE with same capacity, 3) AnoGAN-style adversarial generator, 4) segmentation-free patch-based outlier detector, 5) pseudo-healthy image translation without edge restoration. Metrics: per-scan sensitivity at operating points with ≤1 false positive per scan; per-lesion sensitivity stratified by lesion size bins (&lt;5 mm, 5–10 mm, &gt;10 mm); FROC curves; Dice and centroid error for localization; average false positives per scan; MRI-FID and KID computed on lesion patches (features from pretrained MRI encoder); sliced Wasserstein distance at patch level; MIG (Mutual Information Gap) and normalized Total Correlation (TC) for disentanglement; anatomy-latent leakage AUC (classifier predicting lesion presence from anatomy latents); z_mass RMSE (displacement error in mm) on synthetic ground-truth mass tests; ECE (Expected Calibration Error) for uncertainty. Experimental setup: train models unsupervised using only normals; apply anatomical priors and differentiable one-hot anatomy constraint during training; use edge detector (e.g., learned high-frequency encoder) to supply anatomy input to restoration module; perform per-scanner conformal cluster calibration using N_calib=300 normals. Ablations: (A) remove edge-to-image restoration and reconstruct directly from anatomy code; (B) remove anatomy priors (learn unconstrained latents); (C) replace differentiable one-hot with continuous soft labels; (D) ablate z_mass factor. For each experiment compute bootstrap 95% CIs (bootstrap by scan, 1000 resamples) and report seed variance across 5 random seeds. Acceptance targets (to test hypothesis): increase in per-lesion sensitivity by ≥7 percentage points vs best baseline for &gt;10 mm lesions and reduction in false positives per scan by ≥25% at matched sensitivity.</w:t>
      </w:r>
    </w:p>
    <w:p>
      <w:r>
        <w:t xml:space="preserve"> </w:t>
      </w:r>
    </w:p>
    <w:p>
      <w:pPr>
        <w:pStyle w:val="Heading2"/>
      </w:pPr>
      <w:r>
        <w:t>Risk Factors And Limitations</w:t>
      </w:r>
    </w:p>
    <w:p>
      <w:r>
        <w:t>Leakage: anatomy latents may still encode pathology cues (leakage), causing pseudo-healthy reconstructions that mask or distort lesions. Registration failures: poor registration or large deformations can break priors and produce bad reconstructions. Small lesions: lesions below imaging resolution or &lt;3 mm may be undetectable; sensitivity will drop for smallest bin. Annotation noise: inconsistent ground truth (reader disagreement) will widen CIs; adjudication delays may be required. Sim-to-real gap: synthetic lesion realism may be insufficient despite metrics, limiting calibration fidelity. Compute: training disentangled models with SVF registration and ensembles is compute-intensive (multi-GPU) and may limit reproducibility for small groups. Generalization: unseen vendors, sequences, or pathologies may degrade performance; federated/private sites with few samples (&lt;250 lesions) may be underpowered. Regulatory/ethical limits: using synthetic data in evidence must be clearly documented; privacy constraints can limit external blind holdouts. Evaluation bias: per-scan operating thresholds tuned on calibration normals could still yield site-specific biases if calibration sets are not representative.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