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lctfound_multimodal_diffusion_pretraining</w:t>
      </w:r>
    </w:p>
    <w:p>
      <w:r>
        <w:t xml:space="preserve"> </w:t>
      </w:r>
    </w:p>
    <w:p>
      <w:pPr>
        <w:pStyle w:val="Heading2"/>
      </w:pPr>
      <w:r>
        <w:t>Title</w:t>
      </w:r>
    </w:p>
    <w:p>
      <w:r>
        <w:t>Diffusion-based multimodal pretraining of a lung CT vision foundation model for multi-task CT imaging and diagnosis</w:t>
      </w:r>
    </w:p>
    <w:p>
      <w:r>
        <w:t xml:space="preserve"> </w:t>
      </w:r>
    </w:p>
    <w:p>
      <w:pPr>
        <w:pStyle w:val="Heading2"/>
      </w:pPr>
      <w:r>
        <w:t>Short Hypothesis</w:t>
      </w:r>
    </w:p>
    <w:p>
      <w:r>
        <w:t>Pretraining a large-scale lung CT foundation model with diffusion-based self-supervision combined with joint encoding of imaging and clinical metadata increases downstream task performance (detection sensitivity, segmentation Dice, reconstruction PSNR/SSIM, and diagnostic AUC) compared to models pretrained without diffusion or without clinical metadata under equivalent compute budgets.</w:t>
      </w:r>
    </w:p>
    <w:p>
      <w:r>
        <w:t xml:space="preserve"> </w:t>
      </w:r>
    </w:p>
    <w:p>
      <w:pPr>
        <w:pStyle w:val="Heading2"/>
      </w:pPr>
      <w:r>
        <w:t>Related Work</w:t>
      </w:r>
    </w:p>
    <w:p>
      <w:r>
        <w:t>Existing approaches to medical CT foundation models use self-supervision (contrastive learning, masked modeling) or supervised transfer from natural images, and architecture families include U-Net variants and Vision Transformers (ViT). Generative pretraining with diffusion models has advanced image synthesis but has been rarely applied at scale to 3D CT volumes. Multimodal methods fuse images with text or tabular clinical data in radiology, but most prior works use small, single-center datasets and limited downstream tasks. Federated learning and differential privacy methods have been proposed to address data-sharing constraints, yet prior studies often report large utility loss at strict privacy budgets and lack multi-task demonstration. Limitations in prior work: small or single-site cohorts, insufficient privacy→utility quantification, limited exploration of diffusion pretraining for 3D CT, weak evaluation across diverse downstream tasks (enhancement, virtual CTA, sparse-view reconstruction, segmentation, diagnosis, prognosis, surgical navigation), and scarce regulator‑oriented reproducibility artifacts.</w:t>
      </w:r>
    </w:p>
    <w:p>
      <w:r>
        <w:t xml:space="preserve"> </w:t>
      </w:r>
    </w:p>
    <w:p>
      <w:pPr>
        <w:pStyle w:val="Heading2"/>
      </w:pPr>
      <w:r>
        <w:t>Abstract</w:t>
      </w:r>
    </w:p>
    <w:p>
      <w:r>
        <w:t>We propose training a lung CT vision foundation model using diffusion-based self-supervision together with joint encoding of CT volumes and structured clinical metadata to create a single pretrained model adaptable to many downstream CT tasks. Diffusion-based pretraining means learning to reverse a noise process on volumes (a generative task that teaches rich representations). Joint encoding means combining image features with clinical variables (age, sex, smoking, prior history) in the same model input. The model uses a 3D U-Net backbone enhanced with transformer blocks to capture local and global context. Trained on a curated multi-center cohort (lungCT-28M scale), the resulting LCTFound model will be adapted to tasks including CT enhancement, virtual CTA synthesis, sparse-view reconstruction, lesion segmentation, malignancy detection, prognosis, and 3D surgical navigation. The main contribution is demonstrating that diffusion pretraining plus multimodal encoding yields consistent, measurable gains across heterogeneous CT tasks while providing reproducible privacy and evaluation artifacts for clinical validation. Expected outcome: improved task metrics and clearer privacy→utility tradeoffs enabling regulatory‑oriented evaluation.</w:t>
      </w:r>
    </w:p>
    <w:p>
      <w:r>
        <w:t xml:space="preserve"> </w:t>
      </w:r>
    </w:p>
    <w:p>
      <w:pPr>
        <w:pStyle w:val="Heading2"/>
      </w:pPr>
      <w:r>
        <w:t>Experiments</w:t>
      </w:r>
    </w:p>
    <w:p>
      <w:r>
        <w:t>Datasets: primary pretraining corpus: lungCT-28M (curated, multi-center CT volumes with accompanying clinical metadata); downstream fine-tune and evaluation sets: LIDC-IDRI (nodule detection/segmentation), an internal ILD subset (segmentation/extent), held internal pilot set, and external validation from 6 geographically diverse sites (vendors: Siemens, GE, Philips, Canon) each with manifested versions. Baselines: 1) supervised training from scratch on each task; 2) contrastive pretraining (image-only); 3) masked volume modeling pretraining (image-only); 4) diffusion pretraining image-only (no metadata); 5) diffusion pretraining + metadata (proposed). Metrics (per task): detection sensitivity at fixed prevalence and operating point, AUC (area under ROC), PPV (positive predictive value), segmentation Dice (for lesion masks), volumetric IoU, reconstruction PSNR and SSIM (for enhancement/reconstruction tasks), calibration ECE (expected calibration error), and subgroup TPR gaps (fairness by site/vendor/age/sex). Privacy/robustness metrics: RDP-derived cumulative (epsilon, delta) and empirical ΔAUC/Δsensitivity at ε∈{1,4,8}; membership inference TPR@FPR=1%/5%; inversion SSIM/PSNR; poisoning attack success rate. Experimental setup: input resolution 128×128×128 voxels (explained: cubic patches of CT), model backbone U-Net with transformer blocks (explained: convolutional encoder-decoder with attention modules), mixed-precision training, deterministic seeds, containerized environments. Training regimes: centralized pretraining vs federated pretraining with MPC-based secure aggregation; for DP experiments apply analytical RDP accountant with per-round noise and clipping; run each fine-tune configuration with 5 independent repeats (nested seeds) to estimate variance and 95% CIs. Cross-validation: stratified site-aware folds and clustered bootstrap for CIs. Ablation studies: A) remove diffusion objective (compare masked modeling and contrastive); B) remove clinical metadata (image-only vs multimodal); C) vary harmonization: isotropic resample to 1.0 mm vs include &gt;1.5 mm upsampled cases; D) privacy ablation: ε ∈ {1,4,8} vs no DP. Reader study: randomized crossover n=150–200 with 30–50 positive cases to measure sensitivity change, management decision change rate, and reading time; predefine effect sizes to detect and report power calculations within the evaluation pipeline.</w:t>
      </w:r>
    </w:p>
    <w:p>
      <w:r>
        <w:t xml:space="preserve"> </w:t>
      </w:r>
    </w:p>
    <w:p>
      <w:pPr>
        <w:pStyle w:val="Heading2"/>
      </w:pPr>
      <w:r>
        <w:t>Risk Factors And Limitations</w:t>
      </w:r>
    </w:p>
    <w:p>
      <w:r>
        <w:t>Data heterogeneity: multi-center variability in slice thickness, reconstruction kernel, and vendor may confound results and limit generalization. Label quality: ground truth (histology, growth-based outcome) is imperfect and may introduce label noise. Spectrum bias: excluding thick-slice scans (&gt;1.5 mm) may remove under-resourced site cases and reduce representativeness. Privacy–utility tradeoff: strong DP (small ε) may degrade clinical metrics beyond acceptable limits. Compute and scale: diffusion pretraining on 3D volumes is computationally expensive and may not be feasible for all collaborators. Federated risks: client stragglers, bandwidth limits, and adversarial attacks (poisoning, inversion) can reduce robustness. Evaluation limits: external validation requires coordinated data access and consistent labeling; reader studies with few positives may lack power for small effect sizes. Explainability limits: attribution methods (e.g., Grad-CAM) provide coarse localization and may not align with clinical reasoning.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