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remote_personalized_nutrition_rct</w:t>
      </w:r>
    </w:p>
    <w:p>
      <w:r>
        <w:t xml:space="preserve"> </w:t>
      </w:r>
    </w:p>
    <w:p>
      <w:pPr>
        <w:pStyle w:val="Heading2"/>
      </w:pPr>
      <w:r>
        <w:t>Title</w:t>
      </w:r>
    </w:p>
    <w:p>
      <w:r>
        <w:t>A fully remote randomized controlled trial comparing personalized versus generic nutrition advice (with and without personalized food boxes) for adults with overweight or obesity</w:t>
      </w:r>
    </w:p>
    <w:p>
      <w:r>
        <w:t xml:space="preserve"> </w:t>
      </w:r>
    </w:p>
    <w:p>
      <w:pPr>
        <w:pStyle w:val="Heading2"/>
      </w:pPr>
      <w:r>
        <w:t>Short Hypothesis</w:t>
      </w:r>
    </w:p>
    <w:p>
      <w:r>
        <w:t>Adults with overweight or obesity who receive fully remote, personalized nutrition advice will have a greater absolute percent reduction in body weight at 12 months (≥3.0 percentage points) than adults who receive generic nutrition advice.</w:t>
      </w:r>
    </w:p>
    <w:p>
      <w:r>
        <w:t xml:space="preserve"> </w:t>
      </w:r>
    </w:p>
    <w:p>
      <w:pPr>
        <w:pStyle w:val="Heading2"/>
      </w:pPr>
      <w:r>
        <w:t>Related Work</w:t>
      </w:r>
    </w:p>
    <w:p>
      <w:r>
        <w:t>Prior work shows that personalized nutrition advice can produce larger short-term weight loss than generic advice, and digital interventions enable remote delivery and scalable coaching. Limitations in existing studies include small samples, short follow-up, partial in-person measurements, limited handling of missing data and intercurrent events, insufficiently prespecified fairness/privacy controls, unclear contamination protection (controls accessing personalization), and few trials that lock personalization algorithms for a prespecified primary analysis (frozen algorithm). Continuous glucose monitor (CGM) studies in nutrition demonstrate useful metabolic signal (time-in-range, mean glucose, variability), but often use inconsistent wear rules and incomplete imputation methods. Mediation analyses in prior trials are often underpowered and lack repeated-measures mediation. Overall, the unresolved issues are: robust remote self-measurement (DIY anthropometrics) accuracy over time, generalizable contamination and fairness monitoring in digital platforms, rigorous MNAR (missing-not-at-random) sensitivity for weight/CGM, and reproducible frozen-algorithm governance.</w:t>
      </w:r>
    </w:p>
    <w:p>
      <w:r>
        <w:t xml:space="preserve"> </w:t>
      </w:r>
    </w:p>
    <w:p>
      <w:pPr>
        <w:pStyle w:val="Heading2"/>
      </w:pPr>
      <w:r>
        <w:t>Abstract</w:t>
      </w:r>
    </w:p>
    <w:p>
      <w:r>
        <w:t>We propose a three-arm, fully remote randomized controlled trial to test whether personalized, algorithm-driven nutrition advice (with and without personalized food boxes) yields greater percent body-weight reduction at 12 months than generic online nutrition advice in adults with overweight or obesity. The intervention uses a frozen personalization algorithm for the primary analysis, remote self-collected anthropometrics (do-it-yourself weight and waist measures), and an optional CGM subcohort to capture metabolic responses. The primary contribution is an operationalized, reproducible pipeline combining (1) prespecified statistical rules (ANCOVA primary model, LMM sensitivity, multiple imputation with MNAR sensitivity), (2) contamination and fairness monitoring (quantitative thresholds and frozen-algorithm governance), and (3) pragmatic CGM wear and imputation standards. Expected outcomes are: (a) estimation of the causal effect of personalization on 12-month percent weight change with predefined interpretability (MCID = 3.0 percentage points), (b) validation of remote self-measured anthropometrics for trial use, and (c) evaluation of CGM endpoints and fairness/privacy impacts under a reproducible data-release plan.</w:t>
      </w:r>
    </w:p>
    <w:p>
      <w:r>
        <w:t xml:space="preserve"> </w:t>
      </w:r>
    </w:p>
    <w:p>
      <w:pPr>
        <w:pStyle w:val="Heading2"/>
      </w:pPr>
      <w:r>
        <w:t>Experiments</w:t>
      </w:r>
    </w:p>
    <w:p>
      <w:r>
        <w:t>Design and sample size: three-arm, parallel-group RCT with arms: (A) generic online nutrition advice (control), (B) personalized algorithmic nutrition advice, (C) personalized advice plus personalized food box. Pairwise primary comparisons: B vs A and C vs A. Power calculation (two-sample comparison of means): assume SD of percent weight change = 6.5%, MCID = 3.0 percentage points. Required completers per arm for 80% power ≈ 74; with 25% attrition, enroll 99 per arm → total enrollment = 297. Sensitivity table: compute power across SD in {5.0,5.5,6.0,6.5,7.0,7.5}% and MCID in {2.5,3.0,3.5,4.0} (deliver numeric table). Randomization: 1:1:1 stratified by site and baseline BMI (&lt;35 vs ≥35) with permuted blocks (sizes 4,6); allocation concealed centrally.</w:t>
        <w:br/>
        <w:t>Participants and measurements: adults with BMI ≥25 kg/m2; visits: baseline, 3, 6, 12 months. Self-collected measures: weight (digital scale), waist circumference, and photos for verification. Device subcohort: CGM worn in 14-day windows at baseline, months 3 and 12. CGM endpoints: time-in-range (TIR 70–180 mg/dL; TIR = percent of CGM readings between 70 and 180 mg/dL), mean glucose (mg/dL), coefficient of variation (CV = SD/mean*100, percent). Define diurnal windows: morning 05:00–11:59, afternoon 12:00–17:59, evening 18:00–04:59.</w:t>
        <w:br/>
        <w:t>Primary endpoint and model: absolute percent body-weight change at 12 months. Primary test: ANCOVA of 12-month percent weight change adjusted for baseline percent body weight, site, baseline BMI stratum, sex, age group (&lt;55 vs ≥55), baseline HbA1c; use HC3 robust standard errors. Two-sided alpha = 0.05. Sensitivity: linear mixed model (LMM) on repeated weights (random intercept participant; random intercept site; optional random slope for time).</w:t>
        <w:br/>
        <w:t>Missing data: primary missing-data strategy = multiple imputation by chained equations (MICE) with m = 50 imputations, seed = 20260118. Auxiliary variables included (coded): baseline weight (continuous), prior weights at 3 and 6 months (continuous), age (continuous), sex (binary), race/ethnicity (categorical), SES index (ordinal), site (categorical), baseline HbA1c (continuous), treatment arm (categorical), early adherence metrics (continuous weeks engaged months 0–3), calendar time (continuous). Imputation method: predictive mean matching (PMM) for continuous variables; passive imputation for derived variables (percent change). MNAR sensitivity: pattern-mixture delta shifts on imputed 12-month weight from 0 to +4.0 percentage points in 0.5 increments; selection-model (Diggle–Kenward-style) sensitivity across plausible parameter grid. Pooling: Rubin's rules; MI-compatible implementation with ANCOVA and LMM.</w:t>
        <w:br/>
        <w:t>Interim analysis and DSMB: single formal interim at ~50% information fraction (approx halfway to target completers) using Lan-DeMets O'Brien–Fleming spending; nominal two-sided p ≈ 0.005 at interim, ≈0.049 final; futility stop if conditional power &lt; 20% under original effect. DSMB receives unblinded package; charter prespecifies quorum and voting.</w:t>
        <w:br/>
        <w:t>CGM data handling and analysis: wear rules = ≥10 valid days per 14-day window with ≥70% daily wear time. Interpolate gaps &lt;2 hours; for larger gaps use MICE with predictive mean matching using time-of-day and recent glucose history. Primary CGM analyses use MI under MAR. CGM inferential models: for mean glucose and CV use LMM adjusted as for primary; for TIR (bounded 0–100%) use beta-regression or transformed LMM; where skewed use quantile regression. CGM family multiplicity: Holm–Bonferroni within family α=0.05.</w:t>
        <w:br/>
        <w:t>Contamination and adherence analyses: automated monitoring for contamination triggers (&gt;5% of controls accessing personalization features or &gt;2% session bypass). Primary estimand is ITT (treatment policy). Preplanned secondary analyses: per-protocol (PP) with PP defined as ≥70% recommended intervention sessions months 0–6 and ≥80% weekly engagement months 0–3; as-treated; and contamination-adjusted IV (2SLS) using random assignment as instrument (report diagnostics and monotonicity checks).</w:t>
        <w:br/>
        <w:t>Baselines and secondary endpoints: waist circumference, fat mass (bioimpedance or self-measured protocol), HbA1c, systolic BP; report hierarchical testing: primary → CGM family (if primary significant) → secondary anthropometric/metabolic endpoints.</w:t>
        <w:br/>
        <w:t>Comparisons and ablations: 1) B vs A and C vs A primary pairwise tests; 2) C vs B to isolate food-box effect; 3) ablation removing algorithmic personalization signals (run algorithm with randomized feature masking) to test contribution of personalization features; 4) per-protocol vs ITT; 5) contamination-adjusted IV vs ITT.</w:t>
        <w:br/>
        <w:t>Evaluation metrics and thresholds: primary effect estimate with 95% CI and two-sided p; report absolute difference in percent weight change. Secondary metrics: change in waist (cm), fat mass (kg), HbA1c (%), BP (mmHg), CGM TIR (%), mean glucose (mg/dL), CV (pp). Fairness metrics: calibration-in-the-large, calibration slope, per-group MAE/AUC, equalized odds (sensitivity/specificity gaps). Alert thresholds: calibration drift &gt;5 percentage points, relative AUC drop &gt;5%, equalized-odds gap &gt;5 pp. Reproducibility: lock software versions and containerize analysis (e.g., Docker image with R and package versions), store seeds and scripts.</w:t>
        <w:br/>
        <w:t>Statistical controls: adjust for stratification variables in all models, apply Holm within CGM family, Benjamini–Hochberg FDR for exploratory subgroup claims. Predefine subgroup factors: age, sex, baseline BMI, race (Black vs non-Black), baseline diabetes status (HbA1c ≥6.5% vs &lt;6.5%).</w:t>
        <w:br/>
        <w:t>Deliverables: sensitivity power table across SD/MCID grid; MI and MNAR scripts (MICE PMM, delta adjustments); exact interim alpha-spending table via gsDesign; contamination simulation code and IV diagnostics; CGM imputation/analysis scripts; fairness monitoring code and SHAP explainability snapshots.</w:t>
      </w:r>
    </w:p>
    <w:p>
      <w:r>
        <w:t xml:space="preserve"> </w:t>
      </w:r>
    </w:p>
    <w:p>
      <w:pPr>
        <w:pStyle w:val="Heading2"/>
      </w:pPr>
      <w:r>
        <w:t>Risk Factors And Limitations</w:t>
      </w:r>
    </w:p>
    <w:p>
      <w:r>
        <w:t>Intercurrent events and estimand ambiguity: events such as treatment discontinuation, initiation of GLP‑1 drugs, bariatric surgery, or starting external weight-loss programs may bias ITT and per-protocol contrasts if not prespecified in estimand rules. Self-measurement error: do-it-yourself weights and waist measures risk systematic bias (scale calibration, mis-measurement) and variable accuracy over time. Missing data and MNAR risk: heavy dropout or differential missingness (worse outcomes less likely to report) can bias estimates; MNAR sensitivity depends on plausible shift ranges. CGM wear and data quality: insufficient wear time, sensor failures, and nonrandom non-wear can bias CGM endpoints and complicate imputation. Contamination: controls accessing personalization features can dilute ITT effect and IV assumptions (exclusion restriction, monotonicity) may be violated in digital contexts. Fairness and algorithmic bias: personalization models trained on trial data may perform worse in protected subgroups if subgroup sample sizes are small (&lt;40 completers), limiting fairness monitoring power. Differential privacy (DP) noise: DP mechanisms (ε≈1) inject noise that can degrade utility for small subgroups and affect secondary analyses. Computation and reproducibility: complex MI, CGM imputation, and bootstrap mediation require compute resources and reproducible containers; version drift or untracked seeds can harm reproducibility. Mediation power: mediation analyses are likely underpowered for small indirect effects unless completer N is large and mediator measures are frequent. Regulatory/privacy constraints: stringent de-identification and data-release rules may restrict external validation and secondary analyses. Generalizability: trial sample (digital-first adults willing to self-measure) may differ from broader clinical populations, limiting external validity.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