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gbs_chromogenic_spectroscopy_poct</w:t>
      </w:r>
    </w:p>
    <w:p>
      <w:r>
        <w:t xml:space="preserve"> </w:t>
      </w:r>
    </w:p>
    <w:p>
      <w:pPr>
        <w:pStyle w:val="Heading2"/>
      </w:pPr>
      <w:r>
        <w:t>Title</w:t>
      </w:r>
    </w:p>
    <w:p>
      <w:r>
        <w:t>Quantitative chromogenic pigment absorption spectroscopy for rapid point-of-care identification of Group B Streptococcus colonization in pregnant women</w:t>
      </w:r>
    </w:p>
    <w:p>
      <w:r>
        <w:t xml:space="preserve"> </w:t>
      </w:r>
    </w:p>
    <w:p>
      <w:pPr>
        <w:pStyle w:val="Heading2"/>
      </w:pPr>
      <w:r>
        <w:t>Short Hypothesis</w:t>
      </w:r>
    </w:p>
    <w:p>
      <w:r>
        <w:t>A quantitative variable derived from specific absorption spectroscopy of chromogenic culture media pigment after a short incubation will classify vaginal+rectal swab samples as GBS-positive versus GBS-negative with sensitivity ≥95% and specificity ≥98% versus enriched Todd‑Hewitt culture.</w:t>
      </w:r>
    </w:p>
    <w:p>
      <w:r>
        <w:t xml:space="preserve"> </w:t>
      </w:r>
    </w:p>
    <w:p>
      <w:pPr>
        <w:pStyle w:val="Heading2"/>
      </w:pPr>
      <w:r>
        <w:t>Related Work</w:t>
      </w:r>
    </w:p>
    <w:p>
      <w:r>
        <w:t>Standard reference methods use culture with enrichment (Todd‑Hewitt/LIM broth) and visual readout (beta‑hemolysis, CAMP test); these are reliable but slow (18–24 h) and require lab infrastructure. Nucleic acid amplification tests (NAATs) such as PCR, TMA, and isothermal assays (LAMP/RPA) provide faster, high‑sensitivity detection but need reagents, instrumentation, and may be costly for low-resource settings. Chromogenic culture media produce colored pigments when target bacteria grow; current use is typically visual (subjective) or semi‑quantitative and still relies on incubation time. Optical/spectroscopic quantification of pigments has been applied in other microbiology contexts but is rarely integrated into a compact POCT workflow for GBS. Limitations in prior work include long incubation, subjective color calls, lack of quantitative linkage between pigment signal and organism load, susceptibility to matrix interference (blood, feces, mucus), and limited low‑resource device integration.</w:t>
      </w:r>
    </w:p>
    <w:p>
      <w:r>
        <w:t xml:space="preserve"> </w:t>
      </w:r>
    </w:p>
    <w:p>
      <w:pPr>
        <w:pStyle w:val="Heading2"/>
      </w:pPr>
      <w:r>
        <w:t>Abstract</w:t>
      </w:r>
    </w:p>
    <w:p>
      <w:r>
        <w:t>Group B Streptococcus (GBS) colonization in pregnant women is a key determinant of intrapartum antibiotic prophylaxis but current culture methods are slow and NAATs can be resource‑intensive. We propose a point‑of‑care method that quantifies chromogenic culture media pigment by specific absorption spectroscopy, converts the optical signal into an electrical reading, and computes a single quantitative variable that maps to GBS concentration for rapid colonization calls. The main contribution is a calibrated signal pathway: spectroscopic measurement at a pigment peak wavelength, digital conversion and normalization, and a decision rule that yields binary colonization status and a quantitative estimate of load. Expected outcomes are a diagnostic workflow compatible with low-resource settings that reduces subjectivity, yields a reproducible numeric readout tied to colony forming unit (CFU) load, and achieves clinical accuracy comparable to enriched culture while enabling faster decision-making at the bedside.</w:t>
      </w:r>
    </w:p>
    <w:p>
      <w:r>
        <w:t xml:space="preserve"> </w:t>
      </w:r>
    </w:p>
    <w:p>
      <w:pPr>
        <w:pStyle w:val="Heading2"/>
      </w:pPr>
      <w:r>
        <w:t>Experiments</w:t>
      </w:r>
    </w:p>
    <w:p>
      <w:r>
        <w:t>Datasets: two clinical cohorts collected prospectively: antenatal (N=1000, expected prevalence 20%) and intrapartum (N=1000, expected prevalence 18%). For each subject collect a single combined vaginal+rectal flocked swab placed into liquid Amies, split for (a) enriched Todd‑Hewitt culture (reference), (b) laboratory PCR NAAT (secondary comparator), and (c) the chromogenic spectroscopy POCT. Analytical datasets: spike‑in panels at 50, 100, 500 CFU/swab in three matrices (clean, mucus/blood challenge, heavy fecal challenge) and transport delays 0,6,12,24 h with 30 replicates per cell. Baselines: enriched culture (primary), laboratory PCR (secondary), HiberGene LAMP (if available). Evaluation metrics: sensitivity, specificity, positive predictive value (PPV), negative predictive value (NPV) with 95% CI; ROC curve and AUC; limit of detection (LoD, CFU/swab defined at 95% detection); calibration (Brier score), kappa agreement with culture, time‑to‑result distribution, and mixed‑effects logistic regression accounting for site clustering (ICC=0.02). Experimental setup: measure optical density (OD) at pigment peak wavelength via photodiode spectrometer (explain: OD = light absorbed by pigment), convert voltage to digital units, normalize by path length and media blank, and compute calibrated quantitative variable. Statistical analysis: bootstrap 95% CIs, Bayesian latent‑class models with prior‑predictive checks (priors specified as Beta(95,5) etc.), and site random effects. Ablation studies: (1) with vs without a short enrichment step (e.g., 30–60 min); (2) raw single‑wavelength OD vs full spectral-band integration; (3) electrical variable mapping algorithms (linear vs log vs logistic calibration). Compare diagnostic accuracy and LoD across ablations.</w:t>
      </w:r>
    </w:p>
    <w:p>
      <w:r>
        <w:t xml:space="preserve"> </w:t>
      </w:r>
    </w:p>
    <w:p>
      <w:pPr>
        <w:pStyle w:val="Heading2"/>
      </w:pPr>
      <w:r>
        <w:t>Risk Factors And Limitations</w:t>
      </w:r>
    </w:p>
    <w:p>
      <w:r>
        <w:t>Technical failure modes: pigment signal masked or altered by blood, feces, or mucus (matrix interference); non‑GBS organisms or GBS variants producing atypical pigments leading to false positives/negatives; spectrometer calibration drift or photodiode noise causing measurement error. Data/evaluation biases: cohort prevalence differences will change PPV/NPV; enriched culture may miss very low loads or nonviable organisms causing imperfect reference standard bias. Scalability/engineering limits: device power budget, thermal control for any incubation step, and manufacturing variability (molding yield, lot-to-lot reagent variation) may limit consistent per-test performance. Time constraints: sequencing rescue or culture confirmation cannot inform immediate intrapartum antibiotic decisions. Generalization limits: performance may vary by GBS serotype, cfb‑negative strains, and geographic strain diversity. Regulatory and operational constraints: ambient stability claims for lyophilized reagents and demonstrated LoD across real transport delays are required and may extend timelines. (Definitions: CFU = colony forming unit, a measure of viable bacteria; LoD = lowest concentration detected with specified confidence.)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