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Integrated geochemical, isotopic, microstructural, and thermodynamic reconstruction of technological trajectories in iron smelting at Phnom Dek (Cambodia, 7th–20th c. CE)</w:t>
      </w:r>
    </w:p>
    <w:p>
      <w:r>
        <w:t xml:space="preserve"> </w:t>
      </w:r>
    </w:p>
    <w:p>
      <w:pPr>
        <w:pStyle w:val="Heading2"/>
      </w:pPr>
      <w:r>
        <w:t>Short Hypothesis</w:t>
      </w:r>
    </w:p>
    <w:p>
      <w:r>
        <w:t>If smelting recipes (temperature, oxygen fugacity/redox, flux additions, and fuel) and operational practices changed or were transmitted over time at Phnom Dek, then slag bulk chemistry, diagnostic trace‑element ratios, iron isotopes, and microstructural phase assemblages will form distinct, reproducible clusters that map to those recipe permutations.</w:t>
      </w:r>
    </w:p>
    <w:p>
      <w:r>
        <w:t xml:space="preserve"> </w:t>
      </w:r>
    </w:p>
    <w:p>
      <w:pPr>
        <w:pStyle w:val="Heading2"/>
      </w:pPr>
      <w:r>
        <w:t>Related Work</w:t>
      </w:r>
    </w:p>
    <w:p>
      <w:r>
        <w:t>Prior research on Phnom Dek and nearby Southeast Asian sites has used slag chemistry, magnetite separates, and ethnographic/experimental analogues to infer production changes. Existing approaches have produced useful geochemical fingerprints and identified broad temporal trends. Limitations include small or non‑representative ore baselines, inconsistent inter‑lab protocols causing measurement offsets, incomplete control for weathering and contamination, limited experimental matrices to anchor thermodynamic models, weak propagation of laboratory and model uncertainty into provenance assignments, and ad hoc statistical treatments without pre‑registered priors or power analyses. Work to date has not combined (1) extensive, stratified ore baselines, (2) validated experimental smelts across controlled temperature/redox/flux permutations, (3) hierarchical Bayesian lab bias correction, and (4) pre‑registered CLR‑space clustering with full uncertainty propagation.</w:t>
      </w:r>
    </w:p>
    <w:p>
      <w:r>
        <w:t xml:space="preserve"> </w:t>
      </w:r>
    </w:p>
    <w:p>
      <w:pPr>
        <w:pStyle w:val="Heading2"/>
      </w:pPr>
      <w:r>
        <w:t>Abstract</w:t>
      </w:r>
    </w:p>
    <w:p>
      <w:r>
        <w:t>This study tests whether long‑term changes in iron‑smelting practices at Phnom Dek (7th–20th c. CE) produced distinct, traceable slag signatures. We combine bulk geochemistry, diagnostic trace ratios, Fe isotope measurements, microstructural phase analysis, controlled experimental smelts, thermodynamic ensembles, and probabilistic provenance modeling. Core methods include a stratified ore baseline (20–30 end‑members), a pre‑registered experimental smelt matrix varying temperature, redox (oxygen fugacity), fuel and flux, an inter‑lab round‑robin with hierarchical Bayesian correction for lab offsets, and FactSage thermodynamic ensembles calibrated to experimental textures. Data analysis uses centered log‑ratio (CLR) transforms and pre‑registered clustering with explicit spatial priors and OxCal chronology ensembles. Main contributions are: (1) empirical anchoring of thermodynamic models to experiments, (2) a published, uncertainty‑propagating lab correction, and (3) a reproducible statistical pipeline that links recipes to slag signatures. Expected outcomes are defensible recipe–signature mappings, quantified confidence in provenance and temporal continuity, and shared protocols for equitable data governance and partner capacity building.</w:t>
      </w:r>
    </w:p>
    <w:p>
      <w:r>
        <w:t xml:space="preserve"> </w:t>
      </w:r>
    </w:p>
    <w:p>
      <w:pPr>
        <w:pStyle w:val="Heading2"/>
      </w:pPr>
      <w:r>
        <w:t>Experiments</w:t>
      </w:r>
    </w:p>
    <w:p>
      <w:r>
        <w:t>Datasets: (a) Ore baseline: 20–30 distinct end‑members, 3–6 hand specimens per exposure, stream transect composites. (b) Archaeological pilot: 120 slag samples stratified by context and phase (target minimum per analytical group n=12; aim n=20–30 per cluster). (c) Experimental smelts: controlled matrix with permutations (see below). (d) Round‑robin: 24 aliquots (powdered slags + magnetite separates) distributed to &gt;=4 labs with CRMs and blind duplicates. Baselines: current single‑lab analyses; dataset with no leach; dataset with harmonized leach. Experimental smelt matrix (pre‑registered): 5 temperatures (900, 1000, 1100, 1200, 1300 °C), 3 fO2 levels (reducing, intermediate, oxidizing; fO2 anchored to known buffers), 3 flux conditions (no flux, siliceous flux +5 wt%, calcareous flux +5 wt%), 2 fuels (charcoal, wood charcoal variant), 3 replicates per condition =&gt; 5×3×3×2×3 = 270 smelts. Measurements per sample: bulk major/trace elements (ICP‑MS/ICP‑AES), Fe isotopes (double‑spike MC‑ICP‑MS), SEM‑EDS maps, EBSD where applicable, Raman spectra, magnetic/density separates. Baseline analyses: leached vs unleached comparison, in‑situ LA‑MC‑ICP‑MS on inclusions for low‑mass samples. Evaluation metrics: CLR‑space Mahalanobis centroid separation (distance units), silhouette score, gap statistic, cluster reproducibility (bootstrap concordance), posterior odds for provenance (&gt;5:1 success criterion), ROC AUC for exclusion thresholds, RMSE between FactSage phase predictions and measured phase abundances, Fe isotope precision (target &lt;=0.15‰ repeatability), inter‑lab offset residuals within declared uncertainty. Experimental setup: pre‑registered pipelines for CLR transform, PCA, Ward clustering, GMM/DBSCAN; Monte‑Carlo power analysis to justify sample sizes; hierarchical Bayesian model for inter‑lab correction (nonlinear lab bias functions); provenance models with kernel‑density spatial priors parameterized from ore baseline. Comparisons/ablations: (1) with vs without harmonized leach to test weathering effects; (2) raw lab data vs hierarchical bias‑corrected data to quantify correction impact on cluster assignment; (3) FactSage fits calibrated to experimental textures vs fits using only bulk composition to test equilibrium vs texture‑calibrated realism; (4) provenance with flat priors vs spatial priors to test prior influence. Acceptance criteria: cluster assignments stable under bootstrap, ROC AUC &gt;0.85 for exclusion rules in pilot, RMSE within pre‑registered ensemble thresholds, inter‑lab residuals propagated in posterior uncertainties.</w:t>
      </w:r>
    </w:p>
    <w:p>
      <w:r>
        <w:t xml:space="preserve"> </w:t>
      </w:r>
    </w:p>
    <w:p>
      <w:pPr>
        <w:pStyle w:val="Heading2"/>
      </w:pPr>
      <w:r>
        <w:t>Risk Factors And Limitations</w:t>
      </w:r>
    </w:p>
    <w:p>
      <w:r>
        <w:t>1) Weathering and contamination: secondary alteration may change trace ratios and isotopes, producing false clusters. 2) Low sample mass: many slags yield &lt;1 mg magnetite, limiting bulk Fe isotope analyses and increasing reliance on LA spots with higher spot heterogeneity. 3) Inter‑lab bias nonlinearity: lab offsets may be composition dependent and hard to fully model, leaving residual uncertainty. 4) Non‑equilibrium (kinetic) slag features: thermodynamic models assume equilibrium but real slags may be kinetically trapped, reducing model fit. 5) Incomplete ore baseline: missing source end‑members will bias provenance assignments and spatial priors. 6) Chronological resolution: radiocarbon clustering limits may conflate short‑term changes. 7) Statistical overfitting: complex hierarchical models and spatial priors risk over‑constraining posteriors. 8) Logistical/governance limits: sample export, MOUs, or partner capacity issues could delay analyses. 9) Resource limits: the experimental matrix and expanded baseline require funds and lab time; capacity constraints may force smaller sample sizes. 10) Generalization: methods calibrated at Phnom Dek may not transfer unchanged to other regions with different ores or smelting traditions.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