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composite_bow_reassessment</w:t>
      </w:r>
    </w:p>
    <w:p>
      <w:r>
        <w:t xml:space="preserve"> </w:t>
      </w:r>
    </w:p>
    <w:p>
      <w:pPr>
        <w:pStyle w:val="Heading2"/>
      </w:pPr>
      <w:r>
        <w:t>Title</w:t>
      </w:r>
    </w:p>
    <w:p>
      <w:r>
        <w:t>Integrating biomolecular, iconographic, experimental and genetic data to reassess the origins and development of full horn–wood–sinew composite bows in ancient Eurasia</w:t>
      </w:r>
    </w:p>
    <w:p>
      <w:r>
        <w:t xml:space="preserve"> </w:t>
      </w:r>
    </w:p>
    <w:p>
      <w:pPr>
        <w:pStyle w:val="Heading2"/>
      </w:pPr>
      <w:r>
        <w:t>Short Hypothesis</w:t>
      </w:r>
    </w:p>
    <w:p>
      <w:r>
        <w:t>Archaeological bow artifacts that exhibit horn–wood–sinew laminate microstructure together with adhesive biomarker signatures cause measured mechanical performance (energy stored per unit draw) to be at least 30% greater than matched single-piece wooden bows, demonstrating functional full composite construction.</w:t>
      </w:r>
    </w:p>
    <w:p>
      <w:r>
        <w:t xml:space="preserve"> </w:t>
      </w:r>
    </w:p>
    <w:p>
      <w:pPr>
        <w:pStyle w:val="Heading2"/>
      </w:pPr>
      <w:r>
        <w:t>Related Work</w:t>
      </w:r>
    </w:p>
    <w:p>
      <w:r>
        <w:t>Existing approaches to the question fall into several streams: iconographic and textual studies infer bow form from images and inscriptions; typological and morphological analyses classify bow shape (e.g., double-convex) from fragments; material-science case studies apply isolated analyses (ZooMS, GC-MS, SEM, or radiocarbon) to small sets of specimens; and a few studies use genetic or population-level data to contextualize migrations that might spread technology. Limitations include inconsistent definitions of what counts as a full composite bow, small and non-representative sample sizes, weak interlab calibration and SRM standards, ad hoc decision thresholds for biomolecular IDs, uncorrected or inconsistently corrected reservoir effects in radiocarbon dating, and little integration across iconography, materials, experiments, and genetics. These gaps produce conflicting claims and low reproducibility in origin/diffusion inferences.</w:t>
      </w:r>
    </w:p>
    <w:p>
      <w:r>
        <w:t xml:space="preserve"> </w:t>
      </w:r>
    </w:p>
    <w:p>
      <w:pPr>
        <w:pStyle w:val="Heading2"/>
      </w:pPr>
      <w:r>
        <w:t>Abstract</w:t>
      </w:r>
    </w:p>
    <w:p>
      <w:r>
        <w:t>We address conflicting claims about the geographic origins and development of full horn–wood–sinew composite bows in ancient Eurasia by integrating four evidence streams: biomolecular adhesive and laminate markers, microstructure/iconography, experimental reconstructions with mechanical testing, and population-genetic patterns. Our approach operationalizes explicit identification thresholds, interlaboratory SRMs (standard reference materials), blind-test panels, compound-specific AMS dating with spatial reservoir models, and finite-element (FE) model calibration against replicated experimental bows. The main contribution is a reproducible, preregistered pipeline that maps biomarker and microstructural evidence to quantitative mechanical priors, generates confusion matrices for adhesive classification, and propagates analytical uncertainty into spatiotemporal diffusion models. Expected outcomes are (1) empirically validated diagnostic rules for identifying full composite bows, (2) calibrated FE priors linking markers to performance, and (3) robust, uncertainty‑quantified statements about when and where full composite technology was used, enabling transparent cross‑lab comparability and defensible historical inference.</w:t>
      </w:r>
    </w:p>
    <w:p>
      <w:r>
        <w:t xml:space="preserve"> </w:t>
      </w:r>
    </w:p>
    <w:p>
      <w:pPr>
        <w:pStyle w:val="Heading2"/>
      </w:pPr>
      <w:r>
        <w:t>Experiments</w:t>
      </w:r>
    </w:p>
    <w:p>
      <w:r>
        <w:t>Datasets: (A) Museum specimen panel n&gt;=30 anonymized bow-like artifacts stratified by region (Levant/Anatolia, Caucasus, Caspian, Steppe, Tarim, Siberia) and preservation state; (B) SRM panels of matrix-matched adhesives (bitumen/resin/protein) distributed to labs; (C) Experimental replicas: 3 regional variants × 5 replicates = 15 composite bows and 15 matched single-piece wooden bows; (D) Modern reference collections for ZooMS/LC-MS/MS keratin/collagen and lipid terpenoid libraries; (E) Genome-wide ancient DNA samples for population diffusion covariates. Baselines: single-piece wooden bows (mechanical baseline) and synthetic adhesive controls. Assays: ZooMS (collagen peptide fingerprint), LC-MS/MS proteomics (keratin/collagen peptides, explain: identifying proteins by short peptide sequences), GC-MS lipid profiles, compound-specific AMS on hydroxyproline and n-alkanes, micro-CT lamination metrics, and FE simulations. Evaluation metrics: adhesive classification accuracy, sensitivity, specificity, confusion matrix; Cohen's kappa for inter-observer agreement; RMSE and bias between FE-predicted vs experimental arrow velocity and stored energy; posterior credible intervals (Bayesian) for diffusion parameters; power &gt;=0.8 to detect Cohen's d=0.5. Experimental setup: blind round-robin where each lab analyzes SRMs and subset of n&gt;=30 specimens; require containerized analysis environments and preregistered thresholds (e.g., LC-MS/MS &gt;=2 unique peptides, peptide-level FDR&lt;=1%; ZooMS &gt;=3 diagnostic m/z peaks). Statistical models: hierarchical Bayesian uncertainty propagation (nested Monte Carlo) combining biomolecular ID probabilities, reservoir offsets (Dirichlet mixing for mixed sources), radiocarbon age distributions, and FE priors. Ablation studies: (1) remove genetic covariates to test their effect on diffusion posteriors; (2) relax peptide/PSM cutoffs to test false positive rate; (3) map biomarker-to-property priors: compare FE fits using marker-informed priors vs generic priors. Success criteria: adhesive classification raw accuracy &gt;=90% on blind set, interlab peptide concordance &gt;=80%, FE predicted velocity within ±15% of experimental mean.</w:t>
      </w:r>
    </w:p>
    <w:p>
      <w:r>
        <w:t xml:space="preserve"> </w:t>
      </w:r>
    </w:p>
    <w:p>
      <w:pPr>
        <w:pStyle w:val="Heading2"/>
      </w:pPr>
      <w:r>
        <w:t>Risk Factors And Limitations</w:t>
      </w:r>
    </w:p>
    <w:p>
      <w:r>
        <w:t>Technical failures: low biomolecule yield from degraded adhesives (limits-of-detection may exceed available sample mass), cross-contamination, and ambiguous degraded spectra producing 'undetermined' classifications. Data biases: museum sampling bias, uneven regional baseline coverage for reservoir modeling, and taphonomic survival bias favoring certain materials. Interlab issues: SRM lot variability, persistent disagreement among labs, and long delays in SRM delivery. Model limits: mapping from biomarkers to mechanical properties may be underdetermined (multiple marker mixes can map to similar FE behavior), and FE models rely on assumed cohesive/aging parameters with uncertainty. Statistical limits: small effective sample sizes after stratification and clustering (ICC up to 0.30) can reduce power. Ethical/legal constraints: delays or bans on destructive sampling due to community concerns or MoU refusals. Generalization: results calibrated on selected regions/replicas may not transfer to all Eurasian contexts or to bow forms outside the tested variants.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