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pleistocene_western_europe_dispersal_model</w:t>
      </w:r>
    </w:p>
    <w:p>
      <w:r>
        <w:t xml:space="preserve"> </w:t>
      </w:r>
    </w:p>
    <w:p>
      <w:pPr>
        <w:pStyle w:val="Heading2"/>
      </w:pPr>
      <w:r>
        <w:t>Title</w:t>
      </w:r>
    </w:p>
    <w:p>
      <w:r>
        <w:t>Bayesian multi-proxy and simulation modeling of dispersal and population dynamics to explain the chronological gap in early to middle Pleistocene western European occupations</w:t>
      </w:r>
    </w:p>
    <w:p>
      <w:r>
        <w:t xml:space="preserve"> </w:t>
      </w:r>
    </w:p>
    <w:p>
      <w:pPr>
        <w:pStyle w:val="Heading2"/>
      </w:pPr>
      <w:r>
        <w:t>Short Hypothesis</w:t>
      </w:r>
    </w:p>
    <w:p>
      <w:r>
        <w:t>If regional paleoenvironmental barriers reduced effective migration rates during the early to middle Pleistocene, then integrated models that include those barriers will reproduce a statistically later arrival time for western Europe (relative to Asia), lower refit densities, and reduced signatures of gene flow that are not recovered by models omitting paleoenvironmental constraints.</w:t>
      </w:r>
    </w:p>
    <w:p>
      <w:r>
        <w:t xml:space="preserve"> </w:t>
      </w:r>
    </w:p>
    <w:p>
      <w:pPr>
        <w:pStyle w:val="Heading2"/>
      </w:pPr>
      <w:r>
        <w:t>Related Work</w:t>
      </w:r>
    </w:p>
    <w:p>
      <w:r>
        <w:t>Prior work uses three main approaches: (1) geochronology and age models to place sites in time; (2) lithic analysis and refit networks to infer on‑site activity and connectivity; and (3) paleogenetics and simulation (ABC or demographic models) to infer population size, split times, and admixture. Paleolandscape and least‑cost/agent models have been used to map corridors and barriers. Limitations include inconsistent QC thresholds across labs, weak integration of chronological uncertainty into dispersal and genetic models, small and uneven ancient DNA sample sizes, inadequate crosswalks between datasets (metadata fragmentation), and scarce reproducible end‑to‑end pipelines. Existing methods often treat proxies in isolation (dates, artifacts, environment, genetics) and do not jointly propagate age and taphonomic uncertainty into spatial and demographic inference. This fragmented practice reduces power to resolve whether observed chronological gaps reflect real arrival delays or sampling and preservation biases.</w:t>
      </w:r>
    </w:p>
    <w:p>
      <w:r>
        <w:t xml:space="preserve"> </w:t>
      </w:r>
    </w:p>
    <w:p>
      <w:pPr>
        <w:pStyle w:val="Heading2"/>
      </w:pPr>
      <w:r>
        <w:t>Abstract</w:t>
      </w:r>
    </w:p>
    <w:p>
      <w:r>
        <w:t>This project tests whether environmental barriers caused a real delay in hominin entry into western Europe during the early to middle Pleistocene by combining hierarchical Bayesian age models, multi‑proxy paleoenvironmental reconstructions, lithic refit metrics, paleolandscape simulations, and paleogenetic demographic inference. Hierarchical Bayesian age models (which turn multiple dates and stratigraphic ties into probability distributions for horizon ages) will generate posterior age samples that are fed, without loss of uncertainty, into Monte Carlo paleolandscapes and agent‑based/least‑cost dispersal ensembles. Paleogenetic inference uses ABC‑SMC (an approximate Bayesian method that compares simulated and observed genetic summaries) to test demographic scenarios under priors explicitly published for reproducibility. The main contribution is an integrated, CI‑tested workflow that links dates, taphonomy, artifacts, environment, and genetics to decide whether the western European gap is ecological, demographic, or preservational. Expected outcomes are (1) a reproducible decision framework that reproduces or rejects the delayed‑dispersal hypothesis, (2) quantified sample‑size rules for aDNA and lithics, and (3) open example datasets and containers that demonstrate end‑to‑end reproducibility.</w:t>
      </w:r>
    </w:p>
    <w:p>
      <w:r>
        <w:t xml:space="preserve"> </w:t>
      </w:r>
    </w:p>
    <w:p>
      <w:pPr>
        <w:pStyle w:val="Heading2"/>
      </w:pPr>
      <w:r>
        <w:t>Experiments</w:t>
      </w:r>
    </w:p>
    <w:p>
      <w:r>
        <w:t>Datasets: (A) Three pilot regions in western Europe: full lithic assemblages with refit records and excavation area metadata; (B) geochronology: OSL single/multi‑grain, ESR/U‑series, and tephra where present; (C) paleoenvironment proxies: pollen counts, stable isotopes, sedaDNA, and DEM/paleoDEM inputs including ICE‑6G_C sea/ice boundaries; (D) paleogenetic data: shotgun and capture libraries yielding genomes or low‑coverage data, and sedaDNA/proteomics where available. Baselines: (1) chronology‑only pipeline (dates → age model → arrival times); (2) lithics‑only dispersal inference (refit networks → connectivity); (3) genetics‑only ABC; (4) full model but with age uncertainty suppressed (posterior means only). Evaluation metrics: arrival time distribution shift (median and 95% interval), RMSE between predicted and observed site ages in held‑out tests, coverage (fraction of true ages within modeled intervals), posterior predictive p‑values, ABC model selection error rates, detection power for admixture (true positive rate at fixed FPR), refit density concordance (percent agreement), inter‑lab concordance (%) for blinded tests. Priors and simulation settings (published exactly): effective population size Ne ~ LogUniform(500,100000); split time Tsplit ~ Uniform(50e3,800e3) years; migration rate m ~ LogUniform(1e-6,1e-2); admixture proportion a ~ Uniform(0,0.5); mutation rate mu = 1.2e-8/site/gen; generation time g = 25 years. Lithic simulation priors: Mahalanobis effect size ~ Uniform(0.3,0.6) (Mahalanobis distance measures multivariate difference), sample sizes 300–1000. ABC‑SMC: adaptive tolerance ending 0.01, ESS&gt;200, produce &gt;=10,000 posterior draws. Experimental setup: 1) Fit hierarchical Bayesian age models per horizon with outlier probability (produce &gt;=10,000 posterior draws per horizon). 2) For each draw, build a paleolandscape (Monte Carlo paleolandscapes) and run agent‑based and least‑cost dispersal ensembles; record arrival time distributions and corridor use. 3) Simulate genetic data under priors (msprime/SLiM), compute SFS, FST, f‑statistics, ROH, and LD decay; run ABC‑SMC to infer models and admixture. 4) Compare full integrated model against baselines and perform ablation studies: (A) remove paleoenvironmental constraints; (B) suppress age uncertainty; (C) reduce aDNA sample counts (0,2,5,10 genomes) to produce power curves; (D) relax QC thresholds for dates and aDNA. 5) Inter‑lab blind test: 20% of aDNA and dating samples, 10% lithics; acceptance thresholds pre‑registered (date concordance within ±10%; aDNA contamination limits &lt;5% mtDNA; refit reproducibility ≥80%). Reporting: decision rules linking observed metrics to actions (e.g., number of genomes required to detect admixture at 80% power) and release of containers, exact priors, and example output files.</w:t>
      </w:r>
    </w:p>
    <w:p>
      <w:r>
        <w:t xml:space="preserve"> </w:t>
      </w:r>
    </w:p>
    <w:p>
      <w:pPr>
        <w:pStyle w:val="Heading2"/>
      </w:pPr>
      <w:r>
        <w:t>Risk Factors And Limitations</w:t>
      </w:r>
    </w:p>
    <w:p>
      <w:r>
        <w:t>Technical failures: low endogenous ancient DNA (&lt;0.1%) across sites will reduce genetic inference power; highly mixed or reworked deposits (high OSL overdispersion) will weaken chronological control. Data biases: preservation bias (sites with better preservation dominate signals), sampling bias (uneven excavation effort), and lab bias (inter‑lab measurement variance). Model limitations: misspecified priors or ecological rules can mislead ABC inference, and agent/least‑cost models simplify real behavior. Scalability and compute: ABC‑SMC and large Monte Carlo paleolandscapes require large CPU budgets and IO; results may be slow to reproduce without allocated HPC/cloud resources. Generalization: conclusions may apply only to the studied regions and time windows; different regions or later periods could show different drivers. Evaluation limits: ground truth for arrival times is sparse, so model validation relies on cross‑validation, simulations, and concordance across proxies rather than an absolute test.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