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english_policy_misrecognition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evaluation of how development-framed English-in-education policy produces misrecognition and affects learning outcomes in a low-SES Bangladeshi school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misrecognition caused by development-framed English-in-education policy (measured by the Misrecognition Index) reduce English attainment among low-socioeconomic-status students in the studied school.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splits into three main strands. One strand treats English instruction as linguistic human capital and tests links between English exposure and attainment using large quantitative datasets; limitations include treating development as neutral, weak attention to how policy shapes school practice, and limited work on small-language groups. A second strand uses ethnography and critical theory (governmentality, misrecognition) to show how schooling normalises monolingual norms and devalues multilingual repertoires; limitations are limited generalisability and lack of formal measurement and causal tests. A third strand develops psychometric scales for school climate or identity but rarely targets 'misrecognition' tied to language policy, and often lacks cross-language measurement checks. Gaps: few studies combine rigorous measurement (reliable, invariant scales), pre-registered causal mediation tests, and participatory governance; many quantitative designs omit qualitative mechanisms, while qualitative work lacks scalable indices and pre-registered analytic rules for subgroup inference.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English-in-education policy framed as universal development produces misrecognition of multilingual students and thereby affects their learning. We use a mixed-methods approach in a low-socioeconomic-status school in Bangladesh: 1) build a Misrecognition Index (MI) from ethnographic vignettes, interviews, and survey items; 2) evaluate MI psychometrics (reliability, measurement invariance across language groups) and 3) test MI as a mediator between policy-driven school practices and student English attainment using causal mediation analysis. Main contributions are (a) an operational, theory-informed MI with pre-registered scoring and invariance checks, (b) combined qualitative evidence that grounds causal paths, and (c) pre-registered analytic rules for small-group inference and Bayesian partial pooling where samples are sparse. Expected outcomes are a validated MI, quantified mediation estimates linking misrecognition to attainment, and reproducible analytic code and governance templates to guide equitable policy interpretation.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Ethnography: 6 months of classroom observation, field notes, and vignettes from the single target school. (2) Interviews/focus groups: semi-structured interviews with the principal, 6 English teachers, 8 parents, and 24 students. (3) Surveys: MI instrument administered to all consenting students (target n up to school roll) and participating parents; demographic and SES covariates. (4) Administrative data: student-level English test scores and attendance records for the current and prior year. Baselines: (A) Human-capital regression: English attainment ~ home-English exposure + SES + controls. (B) No-mediator model: attainment ~ school practices + controls. (C) MI-mediator model: attainment ~ school practices + MI (mediator) + controls. Evaluation metrics: MI internal consistency (Cronbach's alpha and McDonald's omega), CFA fit indices (CFI, RMSEA, SRMR; CFA is a confirmatory factor analysis, a test whether items measure the same factor), measurement invariance tests across language groups (configural, metric, scalar; report delta-CFI and delta-RMSEA), IRT (item response theory) parameter precision (standard errors), mediation effect size and 95% bootstrap confidence intervals, sensitivity to unmeasured mediator-outcome confounding (mediational sensitivity parameter), and qualitative thematic saturation (percent new codes per interview). Experimental setup: 1) Build MI item pool from ethnography, translate and cognitive-test items, then run CFA and graded-response IRT; report item parameters and remove items with low loadings (&lt;0.40) or poor fit. 2) Test invariance: run multi-group CFA and report delta-CFI &lt; 0.01 and delta-RMSEA &lt; 0.015 as thresholds. 3) Estimate mediation: use causal mediation analysis with bootstrap CIs (10,000 draws); report average causal mediation effect (ACME) and average direct effect (ADE). 4) Robustness: (a) ablation A — drop MI mediator and compare ATT or regression coefficients; (b) ablation B — replace MI derived by automated coding with manually coded MI to compare classifier error impact; (c) Bayesian alternative — hierarchical IRT and mediation with weakly informative priors when subgroup n &lt; 200, report posterior means and 95% credible intervals. 5) Reporting: pre-register all analysis code with fixed seeds. Comparisons/ablations: compare frequentist CFA+bootstrap mediation vs Bayesian IRT+bayesian mediation; compare models with and without MI to quantify mediation contribution.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limitations: single-school design limits causal generalisability; causal mediation assumes no unmeasured mediator-outcome confounding (this is a strong assumption). Measurement risks: MI items may show differential item functioning across language groups (DIF), reducing comparability. Small-sample problems: rare-language subgroups may have low n, inflating uncertainty; Bayesian partial pooling reduces variance but introduces prior sensitivity. Data risks: social-desirability bias in interviews and surveys, translation errors across scripts, and missing data that may be missing not at random (MNAR). Evaluation risks: bootstrap and asymptotic tests may be unreliable with small samples. Ethical risks: small-cell disclosure may reveal identities of minority-language families; findings might stigmatize groups if reported without CAB review. Operational limits: limited compute needs but time-intensive ethnography and translation work. External validity: results may not generalise beyond the local policy and school context. No mitigation strategies are listed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