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artificial_creativity_question</w:t>
      </w:r>
    </w:p>
    <w:p>
      <w:r>
        <w:t xml:space="preserve"> </w:t>
      </w:r>
    </w:p>
    <w:p>
      <w:pPr>
        <w:pStyle w:val="Heading2"/>
      </w:pPr>
      <w:r>
        <w:t>Title</w:t>
      </w:r>
    </w:p>
    <w:p>
      <w:r>
        <w:t>Evaluating whether AI outputs that are opaquely correlated with human inputs satisfy operational definitions of creativity using proxy validation, human ratings, and adversarial testing</w:t>
      </w:r>
    </w:p>
    <w:p>
      <w:r>
        <w:t xml:space="preserve"> </w:t>
      </w:r>
    </w:p>
    <w:p>
      <w:pPr>
        <w:pStyle w:val="Heading2"/>
      </w:pPr>
      <w:r>
        <w:t>Short Hypothesis</w:t>
      </w:r>
    </w:p>
    <w:p>
      <w:r>
        <w:t>If an AI system produces outputs whose relation to human inputs is mediated primarily by opaque statistical mappings, then the system will fail pre-registered creativity criteria (e.g., Spearman correlation ρ &lt; 0.30 between proxies and human ratings or detector TPR &lt; 0.80 at FPR = 0.10) when evaluated against human judgments and adversarial probes.</w:t>
      </w:r>
    </w:p>
    <w:p>
      <w:r>
        <w:t xml:space="preserve"> </w:t>
      </w:r>
    </w:p>
    <w:p>
      <w:pPr>
        <w:pStyle w:val="Heading2"/>
      </w:pPr>
      <w:r>
        <w:t>Related Work</w:t>
      </w:r>
    </w:p>
    <w:p>
      <w:r>
        <w:t>Prior work includes (1) computational creativity systems that generate novel artifacts and evaluate novelty/value using automatic proxies, (2) human-grounded evaluation studies that collect human ratings for novelty, value, and surprise, (3) adversarial robustness research showing that detectors can be gamed by distributional shifts or targeted perturbations, and (4) reproducibility and ethics literature emphasizing preregistration and provenance. Current approaches typically rely on proxies (automatic scores for novelty, surprise, or compressibility) without fully validated mappings to human judgments, lack standardized estimands for creativity, and do not pre-register adversary budgets. Limitations include proxy fragility across genres and languages, vulnerability to adversarial gaming, cultural bias in human evaluation, inconsistent mixed-effects designs, and sparse documentation of licensing and reproducibility artifacts.</w:t>
      </w:r>
    </w:p>
    <w:p>
      <w:r>
        <w:t xml:space="preserve"> </w:t>
      </w:r>
    </w:p>
    <w:p>
      <w:pPr>
        <w:pStyle w:val="Heading2"/>
      </w:pPr>
      <w:r>
        <w:t>Abstract</w:t>
      </w:r>
    </w:p>
    <w:p>
      <w:r>
        <w:t>This study tests whether systems whose outputs are correlated with human inputs through opaque statistical mappings can be considered creative. We operationalize creativity as a pre-registered estimand combining human-rated novelty and value and a set of automatic proxy measures (lexical/semantic displacement, edit-cost, compressibility). We propose a validation pipeline that (a) maps synthetic generative parameters to concrete textual transformations across domains and languages, (b) collects human ratings with calibrated scales and mixed-effects analysis, and (c) subjects models and detectors to adaptive adversaries. The main contribution is an end-to-end preregistered evaluation protocol linking proxies to human judgments, defining decision thresholds and stopping rules, and reporting adversarial resilience and reproducibility artifacts. Expected outcomes are: (1) quantification of how well proxies predict human creativity judgments across genres; (2) sensitivity maps showing when opaque correlations fail to support claims of creativity; and (3) a public preregistration package with datasets, seeds, and model specs to enable reproducible assessment of 'creative' AI claims.</w:t>
      </w:r>
    </w:p>
    <w:p>
      <w:r>
        <w:t xml:space="preserve"> </w:t>
      </w:r>
    </w:p>
    <w:p>
      <w:pPr>
        <w:pStyle w:val="Heading2"/>
      </w:pPr>
      <w:r>
        <w:t>Experiments</w:t>
      </w:r>
    </w:p>
    <w:p>
      <w:r>
        <w:t>Datasets: Project Gutenberg (fiction subset), AG News (news), arXiv abstracts (scientific), C4 English subset (web), CC-100/OSCAR subsets for English, Spanish, Mandarin. Hold-out splits: seed=42, train 70% / calibration 10% / test 20%. Baselines: human-authored originals (ground truth), deterministic template generator, statistical paraphrase model baseline, pretrained autoregressive language model baseline. Human evaluation: pilot 30 items × 20 raters (600 ratings) per domain; scale-up 60 raters × 40 items per domain. Annotation scales: 7-point Likert for Novelty, Value, Surprise, Fluency, Coherence; pairwise transformational preference. Inter-rater reliability: Krippendorff's alpha (target ≥0.70). Proxy measures: latent-displacement (lexical/semantic distance), edit-cost (operator effort score), compressibility (compression ratio). Explainability features: SHAP (feature attribution) and counterfactual token edits (simple explanation methods; SHAP explains model feature importance; counterfactuals show minimal changes that flip decisions). Detection ensemble: Mahalanobis + reconstruction error + variance-based detector (anomaly detectors). Evaluation metrics: Spearman ρ(proxy, human) with 95% bootstrap CIs; AUC and ROC for detectors; TPR at FPR=0.10 and FPR=0.05; NDCG@10 for ranking by value; ECE for calibration; mixed-effects model coefficients and ROPE-based Bayesian decision (ROPE=[-0.1,0.1]); BF10 and BF01 for stopping rules. Experimental setup: pre-register priors β ∼ Normal(0,0.5), σ_random ∼ Half-Cauchy(0,0.5); pre-register sensitivity grids r∈{0.10,0.20,0.30,0.40}, d∈{0.30,0.50,0.70}, ICC_item∈[0.05,0.30], ICC_subject∈[0.01,0.15], anchor-shift∈{0.10,0.25,0.50} SD, cost ratio c_FN/c_FP∈{1,2,5}. Adversary tests: (A) iterative black-box threshold gaming (population optimizer, 50 rounds), (B) distributional-shift injections (style/code-switching/invented tokens), (C) white-box gradient perturbations (token-level perturbation norms). Report TPR/FPR over rounds, area under degradation curve, time-to-detection. Ablations: (1) remove each proxy group (latent-displacement, edit-cost, compressibility) to measure proxy contribution to ρ and AUC; (2) vary Bayesian priors (Normal(0,0.5) vs Normal(0,1)); (3) disable detector ensemble components to measure resilience loss. Reproducibility: publish splits, seeds, container image hash, config YAML, and smoke-test script reproducing pilot rho and detector AUC within ±5%.</w:t>
      </w:r>
    </w:p>
    <w:p>
      <w:r>
        <w:t xml:space="preserve"> </w:t>
      </w:r>
    </w:p>
    <w:p>
      <w:pPr>
        <w:pStyle w:val="Heading2"/>
      </w:pPr>
      <w:r>
        <w:t>Risk Factors And Limitations</w:t>
      </w:r>
    </w:p>
    <w:p>
      <w:r>
        <w:t>Technical failure modes: proxies may not generalize across genres, languages, or historical periods; detectors may be circumvented by adaptive adversaries. Data and evaluation biases: annotator cultural background can skew novelty/value judgments; minority cultural innovations may be misclassified. Scalability and compute: full adversarial MOEA runs can require thousands of GPU-hours and terabytes of storage, limiting replication. Model and proxy interpretability: feature attributions (SHAP) and counterfactuals are approximate and may mislead. Licensing and IP risks: C4 and some web subsets may have unclear downstream release rights, constraining public data sharing. Statistical limits: mixed-effects assumptions (random effects, ICC values) may be violated, affecting power and inference. Generalization limits: results on selected text domains may not transfer to visual, musical, or multimodal creative artifacts.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