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history_therapy_framework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History Therapy: a structured interdisciplinary intervention using curated historical worldviews to promote meaning-making and psychological well-being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Participants exposed to a structured History Therapy intervention (curated historical materials plus guided reflection) will show greater increase in MLQ Presence scores at 2 weeks post-final session than participants in an active control condition.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that relate history, narrative, and mental health include life-review and meaning-centered therapies which use personal or therapeutic narratives to change perceived life meaning; bibliotherapy and narrative exposure interventions that use texts or memories to prompt reflection; and digital humanities efforts that curate archival materials for education and engagement. Computational narrative analysis has been applied to measure narrative coherence and thematic change. Limitations across these areas include: lack of structured, replicable protocols for combining historical archives with therapy-style facilitation; weak cross-cultural adaptation and data-sovereignty practices for community archives; insufficient safety procedures for distress provoked by historical material; limited empirical MCID (minimal clinically important difference) procedures for meaning measures; and sparse integration of reproducible NLP QA and provenance tracking. No current method combines curated archival exposure, trauma-aware facilitation, rigorous MCID testing, ethnographic co-design, and containerized NLP provenance in one preregistered protocol.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whether structured exposure to curated alternative historical worldviews combined with guided self-reflection can produce measurable short-term increases in perceived meaning in life. We propose History Therapy (HT): a reproducible, interdisciplinary protocol that pairs participant co-selection of archival artifacts with facilitator-led sessions that prompt narrative reconstruction and identity exploration. The main contribution is an IRB-ready experimental framework that specifies a primary outcome (MLQ Presence at 2 weeks post-final session), an empirical MCID/responder rule combining PGIC anchor and 0.5 SD distribution threshold, safety/stopping rules, ethnographic co-design workflows, and containerized NLP QA and provenance for transcripts and multimedia. Expected outcomes are: (1) a test of causal impact of HT on proximal meaning measures, (2) validated MCID estimates from a pilot, and (3) operational SOPs for archival governance, safety, and reproducible computational pipelines. The work enables rigorous evaluation of archival-based interventions and clarifies ethical, measurement, and technical trade-offs needed for scalable, culturally respectful deployment.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Design: randomized controlled trial with three arms: (A) History Therapy (HT: curated artifacts + facilitator-guided reflection + co-selection), (B) Active Control (neutral texts with facilitator-led supportive reflection), (C) Archival Exposure Only (curated artifacts without guided reflection). Pilot: N=60 total across 2 sites (approx. 20 per arm) to estimate variances, anchor prevalence, and ICC. Definitive: N=220 total across 4 sites (≈73 per arm); if cluster delivery used with cluster size m=8 and ICC=0.03, inflate sample by DEFF=1+(m-1)*ICC=1.21 and adjust per attrition. Randomization: individual 1:1:1, stratified by site and language. Timepoints: baseline, immediate post-final-session, primary endpoint at 2 weeks post-final, durability at 3 months. Primary outcome: MLQ Presence score change (Presence subscale of the Meaning in Life Questionnaire) at 2 weeks; MLQ Presence is a numeric scale where higher means more perceived meaning. Primary estimand: ITT (intention-to-treat) effect of arm assignment on MLQ change. Responder definition: participant-reported PGIC (Patient Global Impression of Change) for “meaning in life” ≥ “a little better” AND MLQ change ≥0.5 SD. Secondary outcomes: PGIC distribution, WHO-5 well-being, PHQ-9 depression, session-by-session distress (0–10 numeric rating). NLP and qualitative outcomes: narrative coherence (human-coded, IRR target ≥0.80), topic-trajectory features (dynamic topic modeling), transcript WER (word error rate target &lt;3%), and de-identification error rates. Analysis: primary inferential model is linear mixed-effects with random intercepts for participant and site, fixed effects for baseline MLQ, age, sex, language, time, treatment, and treatment×time; apply Holm correction for secondary outcomes. Missing data: multiple imputation by chained equations (MICE) with 50 imputations; pattern-mixture sensitivity analyses for MNAR. Baselines: report demographic and baseline instrument means; ensure minimum positive anchor cases in pilot ≥10 responders for ROC stability or use Bayesian continuous-anchor estimation if anchor prevalence &lt;10. Ablations: compare HT vs Archival Exposure Only to isolate facilitation effect; compare HT with and without participant co-selection to isolate co-selection effect; compare ethnographically adapted HT versus non-adapted HT to test cultural adaptation. Evaluation metrics: primary p-value threshold 0.05 two-sided, effect size Cohen's d, 95% CI; ROC AUC, sensitivity/specificity for MCID thresholds; topic-model coherence (e.g., CV score) and held-out perplexity for NLP; report provenance and reproducibility of pipelines with container hashes.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Ethical and safety risks: archival material may provoke distress or retraumatization; measurement of 'severe sustained distress' requires clear instrument and rapid triage pathways; DSMB and safety monitors needed for near-real-time action. Data/privacy risks: re-identification from multimedia (face/voice) and text; thresholds (e.g., re-id &lt;0.1%) require empirical attacker-model testing and may not hold across contexts. Sampling and power limits: pilot N=40–60 may yield too few PGIC responders for stable ROC-based MCID estimates; Bayesian methods may be required if anchor prevalence is low. Cultural generalizability: MLQ and other measures may not be invariant across languages or memory cultures; partial invariance or culturally specific measures may be needed, limiting cross-site comparability. NLP technical failure modes: topic models or narrative-structure scores may be noisy for short sessions or low-resource languages; transcript WER may exceed targets for accented speech, increasing measurement error. Operational constraints: digitization, redaction, and co-custody workflows may delay enrollment; containerized pipelines assume compute availability and data governance that some sites may lack. Scalability and cost: batch digitization, human QA, and high-fidelity de-identification are resource intensive and may limit large-scale deployment.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