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sibudu_single_indent</w:t>
      </w:r>
    </w:p>
    <w:p>
      <w:r>
        <w:t xml:space="preserve"> </w:t>
      </w:r>
    </w:p>
    <w:p>
      <w:pPr>
        <w:pStyle w:val="Heading2"/>
      </w:pPr>
      <w:r>
        <w:t>Title</w:t>
      </w:r>
    </w:p>
    <w:p>
      <w:r>
        <w:t>Single-indentation measurement of hardness and elastic modulus to evaluate raw material selection and tool shape in Sibhudu Middle Stone Age assemblages</w:t>
      </w:r>
    </w:p>
    <w:p>
      <w:r>
        <w:t xml:space="preserve"> </w:t>
      </w:r>
    </w:p>
    <w:p>
      <w:pPr>
        <w:pStyle w:val="Heading2"/>
      </w:pPr>
      <w:r>
        <w:t>Short Hypothesis</w:t>
      </w:r>
    </w:p>
    <w:p>
      <w:r>
        <w:t>A single controlled indentation test that yields hardness and elastic modulus values predicts variation in raw material selection and associated tool shape choices in the Sibhudu assemblage, such that a 10% difference in the measured modulus corresponds to a reproducible change in selected raw material class or tool morphology.</w:t>
      </w:r>
    </w:p>
    <w:p>
      <w:r>
        <w:t xml:space="preserve"> </w:t>
      </w:r>
    </w:p>
    <w:p>
      <w:pPr>
        <w:pStyle w:val="Heading2"/>
      </w:pPr>
      <w:r>
        <w:t>Related Work</w:t>
      </w:r>
    </w:p>
    <w:p>
      <w:r>
        <w:t>Existing approaches measure stone mechanical properties using multiple specialised techniques: multi-load nanoindentation series, ultrasonic pulse velocity (UPV) for bulk elastic estimates, destructive fracture tests (e.g., SEVNB) for toughness, and detailed microstructural mapping (EBSD, petrography, micro-CT) to explain anisotropy. These pipelines are accurate but require multiple instruments, high-cost lab time, complex registration between measurements and microstructure, and often lack coherent uncertainty propagation from instrument and material parameters (e.g., Poisson's ratio). Prior single-indentation attempts reduce protocol complexity but commonly ignore anisotropy, indentation size effect (ISE), tip wear, heteroscedastic indent-level error, and formal Bayesian uncertainty propagation. Transfer between spherical and sharp indenter metrics and between field-portable and lab-grade instruments remains under-documented and rarely modeled hierarchically across specimen and material-class levels.</w:t>
      </w:r>
    </w:p>
    <w:p>
      <w:r>
        <w:t xml:space="preserve"> </w:t>
      </w:r>
    </w:p>
    <w:p>
      <w:pPr>
        <w:pStyle w:val="Heading2"/>
      </w:pPr>
      <w:r>
        <w:t>Abstract</w:t>
      </w:r>
    </w:p>
    <w:p>
      <w:r>
        <w:t>We propose and validate a simplified single-indentation protocol that simultaneously yields hardness and elastic modulus (stiffness) from one controlled indent and tests whether these two measures predict raw material selection and tool shape in Sibhudu Middle Stone Age assemblages. The approach treats the single indentation as a compact mechanical assay and integrates it with microstructural covariates and a hierarchical statistical model that explicitly propagates measurement and material uncertainty. Main contributions are: (1) an auditable pipeline to derive both hardness and stiffness from one indent with quantified uncertainty; (2) hierarchical models that operationalize anisotropy (directional fabric) and heterogeneity; and (3) Bayesian power simulations that justify pilot sampling and detectability of a 10% anisotropic effect. Expected outcome is a low-cost, reproducible method that links measurable mechanical properties to archaeological raw-material choices and tool shapes, enabling broader field-accessible studies while preserving rigorous uncertainty statements for comparative and functional inference.</w:t>
      </w:r>
    </w:p>
    <w:p>
      <w:r>
        <w:t xml:space="preserve"> </w:t>
      </w:r>
    </w:p>
    <w:p>
      <w:pPr>
        <w:pStyle w:val="Heading2"/>
      </w:pPr>
      <w:r>
        <w:t>Experiments</w:t>
      </w:r>
    </w:p>
    <w:p>
      <w:r>
        <w:t>Datasets: (1) Sibudu tool-stone assemblage: 20 pilot specimens spanning material classes observed in the site; for each specimen record indents, petrographic thin sections, and texture metrics. (2) Reference standards: NIST reference fused silica and selected chert/quartzite blocks for calibration. (3) Validation set: additional 30 specimens for holdout testing. Baselines: (A) full-lab multi-technique pipeline (multi-load Berkovich nanoindentation series + UPV + SEVNB toughness when available); (B) standard single-Berkoivch protocol without orientation or microstructure covariates. Metrics: cross-validated RMSE (CV-RMSE) relative to median Modulus, posterior probability P(slope_orientation &gt;= slope_z) for 10% effect (power criterion &gt;= 0.8), 90% interval coverage, bias, intraclass correlation (ICC), Bland–Altman limits, calibration slope, and tip-wear drift (change in tip radius). Experimental setup: indentation loads series 50 mN–5 N to quantify ISE (indentation size effect); register indentation coordinates to microstructure (target &lt;50 μm uncertainty); compute per-indent covariates: grain-orientation spread (GOS, measure of grain misorientation), mean grain size, fabric azimuth, micro-CT porosity%. Modeling and validation: fit hierarchical Bayesian model with formula Modulus_std ~ ori_enc + porosity + grain_size + GOS + (1 + ori_enc | specimen) + (1 | material_class) + (1 | lab); encode orientation as cosθ/sinθ or cos2θ/sin2θ per algorithm below; priors weakly informative (Normal(0,1) fixed effects). Nested cross-validation: outer 5 folds by specimen (holdout whole specimens), inner 4-fold tuning; use CmdStan (Stan) 4 chains, 1000 warmup + 1000 draws for final fits; containerize runs. Ablations: (i) remove ori_enc to test anisotropy contribution; (ii) remove GOS and grain_size to test microstructure importance; (iii) homoscedastic vs heteroscedastic indent-level sigma; (iv) spherical→Berkovich transfer included vs excluded. Power simulations: simulate DGP using slope_z = (0.10 * median(Modulus_raw)) / SD(Modulus_raw) across grid of specimen counts {10,15,20,30,40,50} and indents/specimen {20,50,100}, 500 replicates per cell; in each replicate sample Poisson’s ratio ν ~ TruncatedNormal(per_class_mean, per_class_sd) and sample instrument uncertainties (tip radius, compliance) to propagate into E via Oliver–Pharr formulas. Decision rules: design accepted if CV-RMSE ≤5% and posterior P(slope &gt;= slope_z) ≥0.8 in pilot. Documentation: save fold definitions, RNG seeds, posterior draws, and runtime logs.</w:t>
      </w:r>
    </w:p>
    <w:p>
      <w:r>
        <w:t xml:space="preserve"> </w:t>
      </w:r>
    </w:p>
    <w:p>
      <w:pPr>
        <w:pStyle w:val="Heading2"/>
      </w:pPr>
      <w:r>
        <w:t>Risk Factors And Limitations</w:t>
      </w:r>
    </w:p>
    <w:p>
      <w:r>
        <w:t>Measurement error and heteroscedasticity: indent-level noise that increases with contact depth or local roughness can reduce power and bias estimates. Tip wear and ISE: indenter geometry change over runs alters contact radius estimation and can bias modulus estimates. Registration error: misalignment between indent coordinates and microstructure (&gt;50 μm) can misattribute orientation and grain metrics. Material heterogeneity and porosity: specimens with high porosity or CV of grain size may inflate within-specimen variance and violate model assumptions. Poisson’s ratio uncertainty: unknown or mis-specified ν (Poisson’s ratio is the ratio of lateral contraction to axial extension) propagates nonlinearly into modulus and can widen predictive intervals. Scalability and compute: nested Bayesian cross-validation with hierarchical models and power grids is computationally intensive and requires cluster resources; long runtimes may limit exhaustive grids. Generalization limits: calibrated transfer functions (e.g., spherical→Berkovich) and priors are material-class dependent and may not generalize to unseen lithologies. Outliers and missing covariates: extreme indents, cracking, or missing EBSD/porosity data can complicate inference and require pre-specified exclusion rules beyond porosity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