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pygmalion_effect_ai</w:t>
      </w:r>
    </w:p>
    <w:p>
      <w:r>
        <w:t xml:space="preserve"> </w:t>
      </w:r>
    </w:p>
    <w:p>
      <w:pPr>
        <w:pStyle w:val="Heading2"/>
      </w:pPr>
      <w:r>
        <w:t>Title</w:t>
      </w:r>
    </w:p>
    <w:p>
      <w:r>
        <w:t>Pre-registered causal and experimental analysis of how cultural narratives and regulatory policies shape AI research choices, model outputs, and deployment outcomes</w:t>
      </w:r>
    </w:p>
    <w:p>
      <w:r>
        <w:t xml:space="preserve"> </w:t>
      </w:r>
    </w:p>
    <w:p>
      <w:pPr>
        <w:pStyle w:val="Heading2"/>
      </w:pPr>
      <w:r>
        <w:t>Short Hypothesis</w:t>
      </w:r>
    </w:p>
    <w:p>
      <w:r>
        <w:t>Exposure to precautionary cultural narratives and upstream regulatory policy signals causes organizations and model instances to increase measurable choices that prioritize risk mitigation (e.g., funding, design features, and model outputs emphasizing safety and interpretability) relative to exposure to techno-optimist narratives.</w:t>
      </w:r>
    </w:p>
    <w:p>
      <w:r>
        <w:t xml:space="preserve"> </w:t>
      </w:r>
    </w:p>
    <w:p>
      <w:pPr>
        <w:pStyle w:val="Heading2"/>
      </w:pPr>
      <w:r>
        <w:t>Related Work</w:t>
      </w:r>
    </w:p>
    <w:p>
      <w:r>
        <w:t>Work on narrative effects in technology and media shows that cultural frames shape public attitudes and organizational priorities, while NLP research provides tools to measure frame prevalence and sentiment across corpora. Policy evaluation literature uses difference-in-differences (DiD), instrumental variables (IV), and staggered-treatment estimators to identify causal effects of regulations. Ethnographic and agent-based-modeling (ABM) studies capture social processes that drive technical decisions. Existing approaches have limitations: narrative detection methods often lack cross-lingual calibration and measurement invariance; causal papers frequently rely on weak or single instruments and do not combine micro-experiments with large-scale observational causal designs; reproducibility and provenance of model-versioned data are often missing; and privacy standards (e.g., differential privacy) are applied inconsistently. No prior work fully integrates ethnography, preregistered micro-experiments, NLP measurement, DiD/IV causal inference, ABM calibration, and governance artifacts in a single, auditable pipeline.</w:t>
      </w:r>
    </w:p>
    <w:p>
      <w:r>
        <w:t xml:space="preserve"> </w:t>
      </w:r>
    </w:p>
    <w:p>
      <w:pPr>
        <w:pStyle w:val="Heading2"/>
      </w:pPr>
      <w:r>
        <w:t>Abstract</w:t>
      </w:r>
    </w:p>
    <w:p>
      <w:r>
        <w:t>This study tests whether cultural narratives and policy signals systematically shape AI development choices and model outputs. We combine a pre-registered 2×2 factorial micro-experiment that manipulates prompt framing and fine-tuning on held-out cultural corpora with large-scale observational causal analysis using difference-in-differences and instrumental variables tied to public timestamps (e.g., policy rollouts and model/checkpoint release dates). We measure narrative prevalence with a hierarchical codebook and cross-lingual calibrated NLP models, derive organizational outcomes from funding and repository activity logs, and translate ethnographic findings into priors for agent-based simulations that explore longer-run dynamics. Main contributions: (1) a reproducible, provenance-tracked measurement pipeline for narratives across languages; (2) a combined experimental and observational identification strategy that separates prompt/fine-tune/dataset effects from narrative-driven organizational change; and (3) an auditable set of policy-relevant indicators (entropy, KL divergence, embedding dispersion) tied to decision rules. Expected outcome: clear, testable evidence on whether and how cultural frames and policies produce measurable shifts in AI trajectories.</w:t>
      </w:r>
    </w:p>
    <w:p>
      <w:r>
        <w:t xml:space="preserve"> </w:t>
      </w:r>
    </w:p>
    <w:p>
      <w:pPr>
        <w:pStyle w:val="Heading2"/>
      </w:pPr>
      <w:r>
        <w:t>Experiments</w:t>
      </w:r>
    </w:p>
    <w:p>
      <w:r>
        <w:t>Datasets: (1) annotated film and news corpus of cultural narratives (multilingual, codebook-labeled gold set, ~200 docs per language); (2) public policy timelines and regulatory change logs with timestamps; (3) model release and checkpoint logs with versioned metadata; (4) repository activity and funding award datasets (GitHub commits, grant databases) linked to organizations; (5) held-out cultural corpora for fine-tuning (license-checked subsets). Baselines: (A) baseline model with standard prompts, (B) baseline model with narrative prompts, (C) fine-tuned model with standard prompts, (D) fine-tuned model with narrative prompts (2×2 arms). Additional baselines: zero-shot LLM, supervised narrative classifier, and synthetic-control observational estimator. Evaluation metrics: narrative prevalence (proportion of outputs matching target frame), normalized Shannon entropy (measures diversity), KL divergence to historical baseline (measures shift), embedding dispersion (average pairwise cosine distance in embeddings), fairness metrics (demographic parity difference, equalized odds difference where labels exist), repository outcomes (change in funding share for safety-related projects), and statistical estimands (ATE, ATT, dynamic ATT). Experimental setup: Micro-experiment: randomize 50 model seeds per arm (seed = model instance random init), 500 prompts per seed; collect outputs pre-intervention (2 weeks), intervention (4–6 weeks), primary measurement (4 weeks). Analyze with hierarchical mixed-effects model: output_ijk ~ 1 + arm_j + time_k + (1|seed) + (1|prompt) + covariates; report ATE and ATT with cluster-robust SEs and Benjamini–Hochberg FDR. Observational causal tests: DiD specification Y_it = α_i + γ_t + β(Post_t × Treat_i) + X_it + ε_it with Callaway–Sant’Anna staggered-DiD as robustness; IV 2SLS with candidate instruments (policy rollouts, model release timestamps, grant eligibility windows) pre-registered, require first-stage F&gt;10 and report weak-instrument robust CIs. Cross-lingual calibration: multi-group CFA and graded-response IRT with fit thresholds (CFI≥0.95, RMSEA≤0.06). Ablations and comparisons: (i) ablate fine-tune arm to isolate prompt effect; (ii) ablate provenance features (version metadata) to test confounding; (iii) compare DiD vs synthetic-control and local IV bounds; (iv) compare hierarchical variance-partitioning to causal mediation analyses. Significance and reporting: two-sided tests with α=0.05, cluster-level inference, pre-registered robustness family list, and full reproducible notebooks with synthetic minimal data examples.</w:t>
      </w:r>
    </w:p>
    <w:p>
      <w:r>
        <w:t xml:space="preserve"> </w:t>
      </w:r>
    </w:p>
    <w:p>
      <w:pPr>
        <w:pStyle w:val="Heading2"/>
      </w:pPr>
      <w:r>
        <w:t>Risk Factors And Limitations</w:t>
      </w:r>
    </w:p>
    <w:p>
      <w:r>
        <w:t>Technical failure modes: weak instruments (first-stage F&lt;10) preventing credible IV estimates; low annotation agreement reducing power; mis-specified DAGs causing biased interpretation. Data and evaluation biases: corpora that over-represent certain languages, genres, or regions produce skewed narrative measures; measurement invariance may fail across languages. Scalability and compute: full micro-experiment (50 seeds × 500 prompts × multiple arms) requires large GPU time and storage; ABM calibration and simulations are compute intensive. Privacy and legal limits: cultural corpora may contain sensitive personal data limiting public releases. Generalization limits: results may not transfer across model families, organizational types, or countries. Governance and reproducibility: inability to share sensitive raw data may limit external audit; community reviewer recruitment and representative participation may be difficult. Methodological limits: hierarchical models and DiD assume no unmeasured time-varying confounders and correct clustering choices; agent-based model conclusions depend on prior choices and may not be uniquely identified.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