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peircean_semiosis_tai</w:t>
      </w:r>
    </w:p>
    <w:p>
      <w:r>
        <w:t xml:space="preserve"> </w:t>
      </w:r>
    </w:p>
    <w:p>
      <w:pPr>
        <w:pStyle w:val="Heading2"/>
      </w:pPr>
      <w:r>
        <w:t>Title</w:t>
      </w:r>
    </w:p>
    <w:p>
      <w:r>
        <w:t>Activation-patching and triadic metrics to test Peircean semiosis as a grounding solution for the hall-of-mirrors problem in large language models</w:t>
      </w:r>
    </w:p>
    <w:p>
      <w:r>
        <w:t xml:space="preserve"> </w:t>
      </w:r>
    </w:p>
    <w:p>
      <w:pPr>
        <w:pStyle w:val="Heading2"/>
      </w:pPr>
      <w:r>
        <w:t>Short Hypothesis</w:t>
      </w:r>
    </w:p>
    <w:p>
      <w:r>
        <w:t>Targeted perturbation of a model-internal representation subspace (R) that indexes an external referent embedding (O) will causally change referential accuracy (ATE ≥ 0.05) relative to matched-statistics controls (p &lt; 0.01).</w:t>
      </w:r>
    </w:p>
    <w:p>
      <w:r>
        <w:t xml:space="preserve"> </w:t>
      </w:r>
    </w:p>
    <w:p>
      <w:pPr>
        <w:pStyle w:val="Heading2"/>
      </w:pPr>
      <w:r>
        <w:t>Related Work</w:t>
      </w:r>
    </w:p>
    <w:p>
      <w:r>
        <w:t>Existing approaches fall into three families: representational probing (learning lightweight classifiers to read information from activations), causal interventions (activation patching and ablation to change model behavior), and multimodal grounding (aligning textual representations with perceptual embeddings). Probing studies show decodability of many concepts but face probe leakage and overfitting, making correlational evidence weak. Activation-patching gives stronger causal claims but often lacks rigorous matched-statistics nulls and power analysis. Multimodal grounding work improves indexical links to the world but has not been systematically combined with causal subspace edits and rigorous multiple-testing control. Prior work therefore either risks false causal claims from leaked probes or tests grounding only indirectly; none provides a preregistered triadic metric suite (object-sign-interpretant) with validated nulls, standardized subspace extraction, and cross-model confirmatory procedures.</w:t>
      </w:r>
    </w:p>
    <w:p>
      <w:r>
        <w:t xml:space="preserve"> </w:t>
      </w:r>
    </w:p>
    <w:p>
      <w:pPr>
        <w:pStyle w:val="Heading2"/>
      </w:pPr>
      <w:r>
        <w:t>Abstract</w:t>
      </w:r>
    </w:p>
    <w:p>
      <w:r>
        <w:t>Large language models (LLMs) often mirror the surface patterns of training data without stable indexical links to external referents, a failure we call the "hall-of-mirrors." We propose a reproducible, falsifiable study that maps Charles Peirce’s triad (Object, Sign/Representamen, Interpretant) to concrete model components and tests whether models can form grounded interpretants. The method combines (1) a synthetic and naturalistic dataset of sign-triples (O, R, I), (2) per-head subspace extraction via SVD (a method to find main directions in activation space), (3) causal edits by low-rank projection and matched-statistics controls, and (4) preregistered triadic metrics including Referential Drift Rate (RDR), Interpretant Stability (IS), and a Triadic Alignment Index (TAI). The main contribution is a unified experimental protocol that distinguishes genuine indexical grounding from probe artifacts using statistical corrections, power analysis, and null generators. Expected outcomes are clear criteria for when internal representations truly index external referents and a replicable benchmark for semiotic grounding relevant to AI alignment.</w:t>
      </w:r>
    </w:p>
    <w:p>
      <w:r>
        <w:t xml:space="preserve"> </w:t>
      </w:r>
    </w:p>
    <w:p>
      <w:pPr>
        <w:pStyle w:val="Heading2"/>
      </w:pPr>
      <w:r>
        <w:t>Experiments</w:t>
      </w:r>
    </w:p>
    <w:p>
      <w:r>
        <w:t>Datasets: 1) Synthetic sign-triples generator for text, image, and audio: parameterized noise levels, ambiguity regimes, and coupling strengths (see generator configs: coupling_strength ∈ {0.2,0.5,0.8}, ambiguity_level ∈ {low,med,high}, noise_model = Gaussian with σ ∈ {0.01,0.05,0.1}). 2) Naturalistic sets: multi-turn referential dialogues, pronoun-resolution corpora, and image-caption referent pools (CLIP-aligned). Keep a 60/40 discovery/confirmatory prompt split. Models: OPT-1.3B and OPT-6.7B checkpoints (or equivalent open models). Baselines: (A) probe-only decoding (linear probe), (B) probe+matched-statistics nulls, (C) no-probe control (random subspace edits). Metrics: Acc_0 and Acc_N (N=10 self-interpretation steps); RDR = 1-(Acc_N/Acc_0); IS = (1+mean_t cosine(ProcrustesAlign(i_t),ProcrustesAlign(i_{t+1})))/2; CE_norm = clamp(CE_model(O)/CE_chance,0,1); TAI = 0.4*(1-RDR)+0.3*IS+0.3*(1-CE_norm); ATE = average change in referential accuracy after edits; D_sym = normalized KL between model symbol distribution and gold. Technical notes: SVD selects top-k where cumulative explained variance ≥80% or knee detected by Kneedle; Procrustes alignment resolves rotation (Procrustes aligns matrices without scaling). Probe architectures: linear and small MLP (one hidden layer, 64 ReLU units) with L2 ∈ {1e-4,1e-3,1e-2,1e-1}, early stopping patience=10. Interventions: (1) low-rank projective replacement in top-k subspace, (2) additive Gaussian noise calibrated to residual variance, (3) full-replacement by matched-statistics PCA sampling (M=1000 draws) and Mahalanobis nearest-neighbor resampling (n=50). Nulls: block bootstrap, conditional permutation within strata, Gaussian-mixture in PCA space. Statistical tests: discovery uses Benjamini–Hochberg FDR q=0.05 over head×layer×K×sensitivity grid; confirmatory uses Bonferroni-corrected permutation tests (10,000 permutations) on held-out prompts. Uncertainty: bootstrap BCa 95% CIs (10,000 resamples). Power: pilot N=200 items/condition, 3 annotators/item, 1,000 bootstrap trials to ensure ≥80% power for ATE=0.05 and RSA ρ=0.30; escalate to N=500 if underpowered. Ablations: A1 remove Procrustes alignment; A2 replace CLIP-aligned object embeddings with learned task-specific embeddings; A3 vary probe capacity (linear vs MLP) to measure probe leakage. Reporting: per-head/layer candidate lists, sensitivity grids over TAI/L_tri weights, and full reproducibility package with seeds and notebooks.</w:t>
      </w:r>
    </w:p>
    <w:p>
      <w:r>
        <w:t xml:space="preserve"> </w:t>
      </w:r>
    </w:p>
    <w:p>
      <w:pPr>
        <w:pStyle w:val="Heading2"/>
      </w:pPr>
      <w:r>
        <w:t>Risk Factors And Limitations</w:t>
      </w:r>
    </w:p>
    <w:p>
      <w:r>
        <w:t>Probe leakage: lightweight probes can learn dataset artifacts rather than read genuine representations, producing false causal claims. Memorization and training-overlap: models may return memorized referents causing spurious ATE signals. Null generators may fail to match real activation distributions, biasing inference. Annotation bias: human judgments about referents and interpretants may be culturally variant and noisy (Krippendorff's alpha risks). Compute cost: per-candidate patching and permutation tests are GPU-intensive and may limit scale. Scalability and generality: results on selected checkpoints (e.g., OPT-1.3B) may not hold at other model sizes or architectures. Statistical multiplicity: large head×layer search spaces risk false discoveries despite corrections. Ethical and licensing constraints: use of CLIP or proprietary checkpoints may impose licensing limits and data-privacy obligations. Interpretant definition limits: mapping the philosophical ‘‘interpretant’’ to concrete tensors and tokens may miss richer pragmatic or social meanings.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