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llm_mental_health_survey</w:t>
      </w:r>
    </w:p>
    <w:p>
      <w:r>
        <w:t xml:space="preserve"> </w:t>
      </w:r>
    </w:p>
    <w:p>
      <w:pPr>
        <w:pStyle w:val="Heading2"/>
      </w:pPr>
      <w:r>
        <w:t>Title</w:t>
      </w:r>
    </w:p>
    <w:p>
      <w:r>
        <w:t>Systematic evaluation of large language models for diagnosis and treatment support in mental health</w:t>
      </w:r>
    </w:p>
    <w:p>
      <w:r>
        <w:t xml:space="preserve"> </w:t>
      </w:r>
    </w:p>
    <w:p>
      <w:pPr>
        <w:pStyle w:val="Heading2"/>
      </w:pPr>
      <w:r>
        <w:t>Short Hypothesis</w:t>
      </w:r>
    </w:p>
    <w:p>
      <w:r>
        <w:t>Large language models fine-tuned with linguistically grounded features and differential privacy will detect active suicidality in clinical text with sensitivity ≥0.95 and specificity ≥0.70 on held-out external data compared to models fine-tuned without these additions.</w:t>
      </w:r>
    </w:p>
    <w:p>
      <w:r>
        <w:t xml:space="preserve"> </w:t>
      </w:r>
    </w:p>
    <w:p>
      <w:pPr>
        <w:pStyle w:val="Heading2"/>
      </w:pPr>
      <w:r>
        <w:t>Related Work</w:t>
      </w:r>
    </w:p>
    <w:p>
      <w:r>
        <w:t>Prior work includes rule-based lexical screens, classical machine learning on bag-of-words features, and transformer-based clinical models fine-tuned on electronic health records or therapy transcripts. Separate lines address therapeutic chatbots and safety fine-tuning for refusal behavior. Privacy work applies differential privacy during fine-tuning and uses membership-inference attacks to measure leakage. Existing approaches have limitations: lexicon/rule methods miss nuance and context; many transformer models lack explicit linguistic cue conditioning (negation, hedges, discourse), yielding calibration and false‑negative problems; privacy evaluations are often informal or incomplete, leaving re-identification risk unclear; subgroup analyses are underpowered for low-prevalence outcomes; external transportability and clinician workload mapping are rarely quantified; reproducibility artifacts (fixed seeds, container images, attacker protocols) are often missing.</w:t>
      </w:r>
    </w:p>
    <w:p>
      <w:r>
        <w:t xml:space="preserve"> </w:t>
      </w:r>
    </w:p>
    <w:p>
      <w:pPr>
        <w:pStyle w:val="Heading2"/>
      </w:pPr>
      <w:r>
        <w:t>Abstract</w:t>
      </w:r>
    </w:p>
    <w:p>
      <w:r>
        <w:t>Detecting and treating mental-health crises using language in clinical text is promising but faces challenges in clinical validity, privacy, fairness, and operational safety. We propose a systematic evaluation and audit-ready pipeline for large language models (LLMs) applied to mental-health diagnosis and treatment support. The approach integrates linguistically grounded feature conditioning (e.g., negation, uncertainty, self-reference), clinician-anchored annotations, differential privacy fine-tuning with preregistered epsilon sweeps, and reproducible attacker simulations. Main contributions are: a unified experimental protocol with concrete primary endpoints for suicidality detection, a set of ablations that isolate linguistic conditioning and privacy impacts, and standardized privacy and leakage reporting (attack AUC, attacker advantage, expected re-identifications per 10k). Expected outcomes include clear, testable performance bounds for LLMs under privacy constraints, quantified trade-offs between privacy and clinical utility, and an externally validated benchmark and artifact set that enables audit-ready deployments and informed governance decisions.</w:t>
      </w:r>
    </w:p>
    <w:p>
      <w:r>
        <w:t xml:space="preserve"> </w:t>
      </w:r>
    </w:p>
    <w:p>
      <w:pPr>
        <w:pStyle w:val="Heading2"/>
      </w:pPr>
      <w:r>
        <w:t>Experiments</w:t>
      </w:r>
    </w:p>
    <w:p>
      <w:r>
        <w:t>Datasets: 1) De-identified inpatient clinical notes (MIMIC-IV style) for development; 2) multi-site outpatient behavioral health text corpus harmonized across partners; 3) targeted enriched sample with case-control recruitment to reach ≥300 suicidality positives in pilot; 4) differentially private synthetic variants generated with DP fine-tuning. Baselines: A) rule-based lexicon classifier, B) clinical BERT fine-tuned on labels, C) decoder-only LLM fine-tuned, D) encoder-decoder LLM fine-tuned. Models under test: each baseline plus versions augmented with linguistic feature conditioning and with DP fine-tuning. Evaluation metrics: primary—sensitivity (one-sided binomial test vs 0.90), specificity (two-sided proportion test), AUC (DeLong test vs 0.80); secondary—PPV, NPV, calibration slope, Brier score, clinician workload (alerts per 1,000 encounters mapped to minutes), and subgroup sensitivity/PPV. Privacy metrics: attack AUC, attacker advantage, precision/recall at operating points, expected re-identifications per 10k with 95% CI. Experimental setup: stratified train/validation/test by site and time, external validation on held-out partner site, fixed random seeds and containerized runs. Sample sizing: ensure ≥300 positives in pilot; report exact positive N per subgroup. Ablations: (1) remove linguistic feature conditioning, (2) remove DP fine-tuning, (3) ablate refusal/abstention mechanism. DP sweep: clipping norms {1,2,5}, epsilons {0.1,0.5,1,2,4} computed with Rényi accountant. Subgroup inference: hierarchical Bayesian partial-pooling with priors grid σ∈{0.5,1,2}; report full posteriors and flag subgroup N&lt;50 as exploratory. Statistical correction: Holm–Bonferroni for secondary family. Attack protocol: preregister shadow-model architectures and hyperparameters, run low/medium/high attacker-knowledge scenarios, and report attacker metrics per epsilon.</w:t>
      </w:r>
    </w:p>
    <w:p>
      <w:r>
        <w:t xml:space="preserve"> </w:t>
      </w:r>
    </w:p>
    <w:p>
      <w:pPr>
        <w:pStyle w:val="Heading2"/>
      </w:pPr>
      <w:r>
        <w:t>Risk Factors And Limitations</w:t>
      </w:r>
    </w:p>
    <w:p>
      <w:r>
        <w:t>Low prevalence of suicidality may yield insufficient positives despite enrichment, limiting power for subgroups. Annotation disagreement and label noise can reduce attainable sensitivity and calibration. Differential privacy may degrade model utility at tight epsilons, causing trade-offs between privacy and detection performance. Membership-inference or linkage attacks may still yield nonzero re-identification risk under realistic auxiliary data. Models may be biased across dialects, languages, ages, or care settings, limiting generalization. External sites may differ in note style or label definitions, reducing transportability. High compute and storage costs for DP sweeps, attacker simulations, and large LLM fine-tuning may constrain experiments. Safety failure modes include false negatives for high-risk cases and incorrect escalation suggestions. Legal and regulatory constraints vary by jurisdiction, restricting data sharing and deployment. Synthetic data may not fully capture complex discourse or rare presentations, limiting downstream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