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silesia_german_archive_impact</w:t>
      </w:r>
    </w:p>
    <w:p>
      <w:r>
        <w:t xml:space="preserve"> </w:t>
      </w:r>
    </w:p>
    <w:p>
      <w:pPr>
        <w:pStyle w:val="Heading2"/>
      </w:pPr>
      <w:r>
        <w:t>Title</w:t>
      </w:r>
    </w:p>
    <w:p>
      <w:r>
        <w:t>Mixed-methods empirical evaluation of the social, affective, and personal impacts of a German minority community archive in Silesia</w:t>
      </w:r>
    </w:p>
    <w:p>
      <w:r>
        <w:t xml:space="preserve"> </w:t>
      </w:r>
    </w:p>
    <w:p>
      <w:pPr>
        <w:pStyle w:val="Heading2"/>
      </w:pPr>
      <w:r>
        <w:t>Short Hypothesis</w:t>
      </w:r>
    </w:p>
    <w:p>
      <w:r>
        <w:t>Participation in the community archive (interview contribution, access, or curation) causes a measurable increase in participants' sense of belonging (SCS-12 score) and self-reported German language use at six months compared to comparable non-participating community members.</w:t>
      </w:r>
    </w:p>
    <w:p>
      <w:r>
        <w:t xml:space="preserve"> </w:t>
      </w:r>
    </w:p>
    <w:p>
      <w:pPr>
        <w:pStyle w:val="Heading2"/>
      </w:pPr>
      <w:r>
        <w:t>Related Work</w:t>
      </w:r>
    </w:p>
    <w:p>
      <w:r>
        <w:t>Work on community archives and minority heritage emphasizes community governance, ethical digital preservation, and interdisciplinary methods. Quantitative studies of cultural interventions often use mixed-effects models for clustered designs (clusters = community sites), but they rarely address small-cluster inference or stepped-wedge designs common in community rollouts. Oral-history scholarship documents affective and intergenerational impacts qualitatively but often lacks pre-post measurement or psychometric validation across dialects. Digital-consent research proposes dynamic consent and provenance metadata, yet few implementations demonstrate end-to-end propagation with rollback and archive integration. Psychometrics research provides methods for measurement invariance and DIF (differential item functioning), but these methods are underused for dialectal instruments. Limitations across existing approaches include: weak reproducibility of small-sample inference, lack of prior sensitivity analyses for Bayesian work, insufficient dialect-sensitive measurement validation, and few empirical studies linking archival engagement to quantifiable affective outcomes.</w:t>
      </w:r>
    </w:p>
    <w:p>
      <w:r>
        <w:t xml:space="preserve"> </w:t>
      </w:r>
    </w:p>
    <w:p>
      <w:pPr>
        <w:pStyle w:val="Heading2"/>
      </w:pPr>
      <w:r>
        <w:t>Abstract</w:t>
      </w:r>
    </w:p>
    <w:p>
      <w:r>
        <w:t>This study measures how participation in an independent German minority community archive in Silesia affects contributors' social belonging, affective resonance, and language practices. Using mixed methods, we combine a stepped-wedge cluster rollout of archival engagement activities with longitudinal surveys (including SCS-12 and language-use items), validated psychometric tests across dialect groups, and in-depth oral-history interviews collected in August 2024. Quantitative analysis uses mixed-effects models with small-sample corrections (Kenward–Roger) and Bayesian hierarchical models when cluster counts are low, plus CACE instrumental-variable estimates to account for noncompliance. Qualitative analysis applies coded narrative themes for memory continuity and intergenerational transfer. Main contributions are: (1) an empirically grounded estimate of archival engagement effects on belonging and language use; (2) a dialect-sensitive measurement validation pipeline (CFA/DIF); and (3) a reproducible consent-provenance and analysis package for community archives. Expected outcomes are evidence-based guidance for archive practice, validated measures for minority-dialect contexts, and open, reproducible artifacts for future research.</w:t>
      </w:r>
    </w:p>
    <w:p>
      <w:r>
        <w:t xml:space="preserve"> </w:t>
      </w:r>
    </w:p>
    <w:p>
      <w:pPr>
        <w:pStyle w:val="Heading2"/>
      </w:pPr>
      <w:r>
        <w:t>Experiments</w:t>
      </w:r>
    </w:p>
    <w:p>
      <w:r>
        <w:t>Datasets: (1) Interview and survey data collected August 2024 and follow-ups at 6 and 12 months; (2) archival system logs (access counts, download events); (3) transcription/translation artifacts and coder logs. Use synthetic simulation datasets for power analysis with master seed 20260117 and scenario seeds 12345, 54321, 99999. Design: stepped-wedge cluster-randomized rollout across clusters (community sites). Primary outcome: SCS-12 score change from baseline to 6 months. Secondary outcomes: self-reported German language use frequency, WHO-5 well-being, PANAS affect scales, access behavior metrics, and coded qualitative measures (affective resonance, memory continuity, intergenerational references). Baselines: (A) matched non-participating community members (no archival engagement) and (B) minimal-exposure group (access only). Models and inference: mixed-effects linear models with cluster and participant random intercepts, Kenward–Roger correction for fixed effects; Bayesian hierarchical models with priors (effect ~ Normal(0,1); group SDs ~ half-Student-t(3,2)) when clusters &lt;10; report both frequentist p-values and Bayesian 95% credible intervals. Compliance and causal estimates: CACE via 2SLS with cluster-robust SEs; weak-instrument checks (first-stage F&gt;10; Sanderson-Windmeijer for multiple instruments). Psychometrics: EFA/CFA pipeline, report Omega and Cronbach's alpha, test longitudinal invariance (configural, metric, scalar) using ΔCFI&lt;0.01 and ΔRMSEA&lt;0.015; DIF via ordinal logistic regression, MIMIC, and IRT-LR with Benjamini–Hochberg correction. Ablations: (1) analysis with vs without dynamic-consent-enforced access to test consent effects on engagement; (2) aggregation vs dialect-specific models to test measurement invariance; (3) REML vs Bayesian estimation comparison. Reproducibility: publish R scripts (lme4, simr or SimDesign), Stan code, seeds, and simulated power tables; preregister analysis plan and make artifacts available via DOI.</w:t>
      </w:r>
    </w:p>
    <w:p>
      <w:r>
        <w:t xml:space="preserve"> </w:t>
      </w:r>
    </w:p>
    <w:p>
      <w:pPr>
        <w:pStyle w:val="Heading2"/>
      </w:pPr>
      <w:r>
        <w:t>Risk Factors And Limitations</w:t>
      </w:r>
    </w:p>
    <w:p>
      <w:r>
        <w:t>Small numbers of clusters or participants can reduce statistical power and bias cluster-level estimates; with ≤6 clusters causal claims will be limited and inference may rely on permutation or bootstrap methods. Dialectal variation may cause measurement non-invariance, reducing validity of pooled scales. Reidentification risk is high for rich oral-history metadata and small communities; anonymization may reduce research utility. Consent withdrawal can require complex retroactive enforcement across indices and backups. Translation and transcription errors can bias coding and psychometrics. Technical failures (webhook delays, KMS issues, failed propagation) can break consent enforcement. Legal constraints (cross-border transfer rules) may limit data sharing. Compute limits may restrict Bayesian posterior sampling for large hierarchical models. Findings may not generalize beyond this German-minority context or to larger, non-minority archives.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