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navigating_impact_vc_ambiguity</w:t>
      </w:r>
    </w:p>
    <w:p>
      <w:r>
        <w:t xml:space="preserve"> </w:t>
      </w:r>
    </w:p>
    <w:p>
      <w:pPr>
        <w:pStyle w:val="Heading2"/>
      </w:pPr>
      <w:r>
        <w:t>Title</w:t>
      </w:r>
    </w:p>
    <w:p>
      <w:r>
        <w:t>Mixed-methods causal analysis of how impact venture capitalists' tactical mobilization of contested impact definitions affects access to new markets, founders, and capital</w:t>
      </w:r>
    </w:p>
    <w:p>
      <w:r>
        <w:t xml:space="preserve"> </w:t>
      </w:r>
    </w:p>
    <w:p>
      <w:pPr>
        <w:pStyle w:val="Heading2"/>
      </w:pPr>
      <w:r>
        <w:t>Short Hypothesis</w:t>
      </w:r>
    </w:p>
    <w:p>
      <w:r>
        <w:t>When impact venture capitalists tactically adapt and present contested definitions of 'impact' to match local founders and limited partners, their portfolio firms will have a higher incidence of follow-on funding within 12 months than firms backed by VCs using a standardized, non-adaptive impact definition.</w:t>
      </w:r>
    </w:p>
    <w:p>
      <w:r>
        <w:t xml:space="preserve"> </w:t>
      </w:r>
    </w:p>
    <w:p>
      <w:pPr>
        <w:pStyle w:val="Heading2"/>
      </w:pPr>
      <w:r>
        <w:t>Related Work</w:t>
      </w:r>
    </w:p>
    <w:p>
      <w:r>
        <w:t>Existing work on impact investing emphasizes standardized measurement taxonomies (for example, IRIS+ and GIIN frameworks) and descriptive studies of fund behavior, but typically treats the meaning of 'impact' as fixed or as a measurement problem rather than a strategic resource. Research on venture capital access and screening shows the importance of signals (governance, financial controls) for follow-on funding, but often omits how managers deliberately reframe or perform signals. Causal-inference methods for staggered rollouts (difference-in-differences and newer estimators like Callaway–Sant’Anna) address timing heterogeneity but face documented weaknesses from treatment-timing endogeneity and spillovers. Psychometric literature provides methods to build composites (CFA, IRT) but often under-addresses ordinal/mixed-item estimators and cross-cultural measurement invariance. Qualitative studies apply ethnography to investor practices but rarely integrate preregistered causal tests or rigorous psychometric calibration. Overall gaps: limited empirical tests of tactical signaling around 'impact', weak integration of qualitative tactics with preregistered causal identification, and under-specified ordinal/mixed-data psychometric protocols across markets.</w:t>
      </w:r>
    </w:p>
    <w:p>
      <w:r>
        <w:t xml:space="preserve"> </w:t>
      </w:r>
    </w:p>
    <w:p>
      <w:pPr>
        <w:pStyle w:val="Heading2"/>
      </w:pPr>
      <w:r>
        <w:t>Abstract</w:t>
      </w:r>
    </w:p>
    <w:p>
      <w:r>
        <w:t>This study tests how impact venture capitalists' everyday tactical use of a contested 'impact' definition shapes their ability to enter new markets, recruit founders, and mobilize capital. We combine Michel de Certeau's tactical lens with a preregistered, mixed-methods causal design: a staggered rollout quasi-experiment analyzed with cohort-specific ATT (Callaway–Sant’Anna), instrumented 2SLS where valid announcements exist, network-aware spillover models, and psychometrically validated governance-readiness measurement. Qualitative interviews and ethnographies document the tactics VCs use to signal legitimacy and fit. The main contribution is an empirically grounded account linking specific tactical practices to measurable outcomes: follow-on funding incidence within 12 months (binary), time-to-follow-on (survival), and a validated governance-readiness composite (standardized score). Expected outcomes include quantitative estimates of causal effects, validated measurement tools for governance readiness usable across markets, and a taxonomy of tactical maneuvers with normative implications for funders and policymakers.</w:t>
      </w:r>
    </w:p>
    <w:p>
      <w:r>
        <w:t xml:space="preserve"> </w:t>
      </w:r>
    </w:p>
    <w:p>
      <w:pPr>
        <w:pStyle w:val="Heading2"/>
      </w:pPr>
      <w:r>
        <w:t>Experiments</w:t>
      </w:r>
    </w:p>
    <w:p>
      <w:r>
        <w:t>Datasets: (1) Seed actor inventory and portfolio-firm panel from Nairobi (primary) and Lagos (secondary) including fund_id, market, sector, treatment-rollout timestamps, follow-on funding events, and firm covariates; (2) accelerator/cohort and DFI announcement schedules; (3) bipartite fund–intermediary network and spatial coordinates; (4) qualitative transcripts from 120 founders (approx. 120 across markets), 30 GP/intermediary interviews, and 30 ethnographic observations; (5) pilot psychometric item responses for the governance-readiness item universe (40–60 items). Baselines: (A) no-treatment / natural variation, (B) standardized-impact-definition practice, (C) scoring baselines: equal-weight normalized index, IRT latent trait, and thresholded binary flag. Primary evaluation metrics: follow-on funding incidence within 12 months (binary proportion), time-to-follow-on (median days; survival models), governance-readiness composite (standardized mean difference), ROC/AUC and calibration metrics for binary flags, and cluster-level first-stage F for instruments. Econometric setup: staggered-DiD estimating cohort-specific ATT via Callaway–Sant’Anna with unit and time fixed effects; pre-registered IV 2SLS using announcement/rollout dates as instruments with first-stage F&gt;10 (report LIML as robustness). Clustering: cluster SEs at fund×market; if clusters&lt;50 use wild cluster bootstrap. Spillover tests: two-stage exposure model where exposure = share of treated neighbors (network 1-hop and 2-hop; spatial buffers 50km/100km) and permutation inference within blocks. Psychometrics: EFA then CFA using appropriate estimators for mixed data (WLSMV for ordinal/polychoric correlations or robust ML for continuous), extract factor scores (pre-register choice of regression vs Bartlett scores), IRT graded-response for ordinal robustness, test measurement invariance (configural/metric/scalar) and alignment optimization if scalar fails. Missing data and MNAR: MICE with type-matched imputation models (logistic/multinomial for categorical; predictive mean matching for continuous), 50 imputations, and pattern-mixture delta sensitivity with deltas = {-0.5,-0.25,0,0.25,0.5} SD applied to factor scores and/or item responses per pre-specified rule. Simulations and power: Monte Carlo grid with baseline follow-on p0 in 0.20–0.35; ICC in {0.05,0.10,0.15}; cluster-size imbalance up to 3×; serial correlation rho in {0.2,0.4,0.6}; attrition {10%,20%,30%}; report power tables for DiD to detect 8–12 percentage point changes with per-arm N=200–400 and IV requiring 2–3× larger N depending on instrument strength. Ablations and comparisons: (i) scoring method ablation (CFA-factor vs IRT vs equal-weight), (ii) instrument inclusion vs reduced-form DiD, (iii) spillover exclusion vs inclusion, (iv) ordinal estimator choice (WLSMV vs FIML). Multiple-testing and inference: Romano–Wolf stepdown for primary family, Benjamini–Hochberg for secondary, and permutation inference for spillover bounds. Reproducibility: publish code, seeds, unit tests, synthetic example datasets, and preregistration with exact syntax and software versions.</w:t>
      </w:r>
    </w:p>
    <w:p>
      <w:r>
        <w:t xml:space="preserve"> </w:t>
      </w:r>
    </w:p>
    <w:p>
      <w:pPr>
        <w:pStyle w:val="Heading2"/>
      </w:pPr>
      <w:r>
        <w:t>Risk Factors And Limitations</w:t>
      </w:r>
    </w:p>
    <w:p>
      <w:r>
        <w:t>Measurement risks: mis-specifying psychometric models for mixed ordinal/continuous items (leading to biased factor scores); item-level differential item functioning (DIF) across markets causing non-comparable scores. Missing-data risks: MNAR patterns where nonresponse correlates with unobserved governance traits, harming inference. Identification risks: weak or invalid instruments (announcement dates correlated with unobserved shocks), and treatment-timing endogeneity that invalidates DiD assumptions. Spillovers: violation of no-interference (SUTVA) due to spatial or network spillovers that bias ATT estimates. Sample-size and clustering: fewer clusters than planned or high cluster imbalance reduces power and invalidates asymptotic SEs. Generalization limits: findings from Nairobi/Lagos may not extend to other regions with different legal and market structures. Ethical and normative limits: mobilizing contested 'impact' definitions may have unintended distributional effects or perverse incentives not captured in short-term outcomes. Operational constraints: legal/regulatory data heterogeneity and limited access to LP-level decision data may reduce ability to measure tactical signaling to capital providers.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