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w:t>
      </w:r>
    </w:p>
    <w:p>
      <w:r>
        <w:t xml:space="preserve"> </w:t>
      </w:r>
    </w:p>
    <w:p>
      <w:pPr>
        <w:pStyle w:val="Heading2"/>
      </w:pPr>
      <w:r>
        <w:t>Title</w:t>
      </w:r>
    </w:p>
    <w:p>
      <w:r>
        <w:t>A discursive-hegemonic causal inference framework to measure how business leaders' populist framing alters consumption via amplification of advertising</w:t>
      </w:r>
    </w:p>
    <w:p>
      <w:r>
        <w:t xml:space="preserve"> </w:t>
      </w:r>
    </w:p>
    <w:p>
      <w:pPr>
        <w:pStyle w:val="Heading2"/>
      </w:pPr>
      <w:r>
        <w:t>Short Hypothesis</w:t>
      </w:r>
    </w:p>
    <w:p>
      <w:r>
        <w:t>Exposure to business leaders' populist framing causally increases the amplification ratio of firm advertising (observed impressions divided by estimated organic impressions) and raises purchase intent among exposed consumers relative to comparable unexposed controls.</w:t>
      </w:r>
    </w:p>
    <w:p>
      <w:r>
        <w:t xml:space="preserve"> </w:t>
      </w:r>
    </w:p>
    <w:p>
      <w:pPr>
        <w:pStyle w:val="Heading2"/>
      </w:pPr>
      <w:r>
        <w:t>Related Work</w:t>
      </w:r>
    </w:p>
    <w:p>
      <w:r>
        <w:t>Prior work spans political populism theory, corporate framing and marketing persuasion, computational framing detection, and causal estimators for media effects (matching, predictive baselines, synthetic control, and IV approaches). Existing approaches measure framing signals or ad exposure but often treat firms and political actors separately, lack a unified estimand linking framing intensity to amplified reach, and conflate algorithmic delivery with framing-driven amplification. Computational classifiers of frames often lack adversarial robustness and multilingual validity. Causal pipelines for ad amplification typically rely on single methods (matching or predictive models) without ensemble validation against certified panels. Differential privacy methods have been advanced for aggregate release but are rarely integrated with causal inference pipelines that require per-release accounting. Limitations: weak identification of framing-driven amplification, sparse cross-language validation, limited sensitivity analyses for unobserved confounding, and insufficient governance for privacy versus utility tradeoffs.</w:t>
      </w:r>
    </w:p>
    <w:p>
      <w:r>
        <w:t xml:space="preserve"> </w:t>
      </w:r>
    </w:p>
    <w:p>
      <w:pPr>
        <w:pStyle w:val="Heading2"/>
      </w:pPr>
      <w:r>
        <w:t>Abstract</w:t>
      </w:r>
    </w:p>
    <w:p>
      <w:r>
        <w:t>This study introduces and tests "consumption populism" as a discursive process whereby business leaders use populist logic to construct "the people" and shape consumption. We propose a causal inference framework that links measurable framing intensity to an Amplification Ratio (AR = observed impressions / estimated organic impressions) and consumer outcomes (e.g., purchase intent). The approach combines a CPI (consumption populism index) built from multilingual text classifiers, an ensemble estimator for Estimated_OrganicImpressions (matching + predictive baseline), causal identification via SCM/DiD hybrids and instrumental variables, and differential privacy accounting for public releases. Main contributions are: (1) an explicit estimand (ATT on log-AR and consumer intent), (2) a reproducible pipeline that validates organic-impression estimates against certified panels, and (3) a three-stage theoretical model (otherization, homogenization, hegemony) operationalized for measurement. Expected outcome: quantifiable causal effects of populist corporate framing on amplification and consumption, plus transparent decision rules for privacy, robustness, and ethical dissemination.</w:t>
      </w:r>
    </w:p>
    <w:p>
      <w:r>
        <w:t xml:space="preserve"> </w:t>
      </w:r>
    </w:p>
    <w:p>
      <w:pPr>
        <w:pStyle w:val="Heading2"/>
      </w:pPr>
      <w:r>
        <w:t>Experiments</w:t>
      </w:r>
    </w:p>
    <w:p>
      <w:r>
        <w:t>Datasets: firm ad logs with impressions and targeting, creative text/image corpus, certified panel exposure data (Nielsen/Comscore), browser-extension/mobile-SDK cohort, ethnographic transcripts, and multilingual corpora (English, Spanish, French, German). Primary estimand: average treatment effect on the treated (ATT) on log(AR) and ATT on consumer purchase intent. Primary outcome definition: AR_m = ObservedImpressions_m / Estimated_OrganicImpressions_m; use log(AR) as main dependent variable. Estimator: pre-registered ensemble where Estimated_Organic = weighted average of (A) coarsened-exact matching + propensity-score stratified matching (propensity via regularized GBM) and (B) cross-validated GBM/RF predictive baseline; ensemble weights by out-of-sample MAPE. Variance and inference: clustered bootstrap over campaign units (1,000 resamples) for CIs; SCM inference uses 1,000 placebo permutations and permutation p-values. Baselines: naive AR (no adjustment), predictive-only baseline, matching-only, SCM-only, and IV-LATE where instrument available. IV candidates: platform algorithm-change dates and delivery shocks; report first-stage F&gt;10, partial R2, and Anderson-Rubin CIs. Classifier evaluation: held-out F1 (target ≥0.73), adversarial robustness tests (paraphrase/back-translation, slang injection); ablations: (i) remove CPI features from matching, (ii) replace ensemble with single path, (iii) vary event windows ±4/±8/±12/±26 weeks, (iv) classifier without adversarial augmentation. Metrics: AR bias and MAPE (for Estimated_Organic vs panel), concordance (correlation) with ground truth (target ≥0.60), treatment effect estimate with clustered bootstrap CI, permutation p-values, classifier F1, Brier and ECE for calibration, and calibrated mediation effect sizes. Sample targets: ≥200 treated campaigns with ≥400 matched controls when feasible; validation panels ≥1,000 per key subgroup and ≥300 per language where feasible. Multiple-testing: Bonferroni correction for the primary outcome family (log-AR and purchase intent), Benjamini-Hochberg for secondary analyses. Pre-registration: full analysis plan, exclusion rules (poor overlap SMD&gt;0.10 or propensity non-overlap), and code freeze before estimation.</w:t>
      </w:r>
    </w:p>
    <w:p>
      <w:r>
        <w:t xml:space="preserve"> </w:t>
      </w:r>
    </w:p>
    <w:p>
      <w:pPr>
        <w:pStyle w:val="Heading2"/>
      </w:pPr>
      <w:r>
        <w:t>Risk Factors And Limitations</w:t>
      </w:r>
    </w:p>
    <w:p>
      <w:r>
        <w:t>Differential privacy may increase estimator variance and bias, reducing power for firm-level inferences. Classifier errors or concept drift (changing language) can mis-measure CPI and attenuate effects; adversarial language or images may degrade performance. Estimated_OrganicImpressions may be biased if key covariates are unobserved or if matching overlap is poor; IV exclusion restrictions may fail if instruments affect demand. SCM donor pools may be insufficient for some units, producing unreliable counterfactuals. Multilingual measurement invariance may not hold, limiting cross-language generalization. Sample size targets (≥1,000 or ≥300 per language) may be infeasible for small sectors or rare languages, restricting subgroup analysis. Record linkage errors between ad logs and panel cohorts can introduce measurement error; CPI score measurement error can attenuate AR estimates. Ethical risks include reputational harm to firms and privacy risks to individuals despite DP; these risks constrain dissemination and may limit public reporting of fine-grained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