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beyond_detection_student_ai</w:t>
      </w:r>
    </w:p>
    <w:p>
      <w:r>
        <w:t xml:space="preserve"> </w:t>
      </w:r>
    </w:p>
    <w:p>
      <w:pPr>
        <w:pStyle w:val="Heading2"/>
      </w:pPr>
      <w:r>
        <w:t>Title</w:t>
      </w:r>
    </w:p>
    <w:p>
      <w:r>
        <w:t>A mixed-methods evaluation of authentic data-based assessment designs and privacy-preserving pedagogical signals to detect and reduce undisclosed student use of generative AI in online higher-education assessments</w:t>
      </w:r>
    </w:p>
    <w:p>
      <w:r>
        <w:t xml:space="preserve"> </w:t>
      </w:r>
    </w:p>
    <w:p>
      <w:pPr>
        <w:pStyle w:val="Heading2"/>
      </w:pPr>
      <w:r>
        <w:t>Short Hypothesis</w:t>
      </w:r>
    </w:p>
    <w:p>
      <w:r>
        <w:t>Deploying authentic, data-based assessment tasks together with clear guidance and instructor-facing, privacy-preserving reason_codes causes a measurable decrease in undisclosed student use of generative AI compared to conventional detection-focused online assessments.</w:t>
      </w:r>
    </w:p>
    <w:p>
      <w:r>
        <w:t xml:space="preserve"> </w:t>
      </w:r>
    </w:p>
    <w:p>
      <w:pPr>
        <w:pStyle w:val="Heading2"/>
      </w:pPr>
      <w:r>
        <w:t>Related Work</w:t>
      </w:r>
    </w:p>
    <w:p>
      <w:r>
        <w:t>Existing approaches fall into two main groups: (1) detection-focused classifiers that try to label student text as AI-generated, and (2) pedagogical or design-focused methods that use authentic tasks and clear guidance to discourage misuse. Classifier-based work provides automated signals but has well-known weaknesses: sensitivity to prompt paraphrasing, high false-positive rates for nonnative or international students, poor robustness across models and domains, and risks that explainability artifacts leak identifiable text. Design-based work shows promise in reducing misuse by changing task affordances but often lacks rigorous, quantitative comparisons and tools to link analytic signals to pedagogy. Hybrid proposals that combine detection and pedagogy are nascent and typically omit detailed privacy guarantees (such as differential privacy accounting) and operational governance. Limitations across prior work include insufficient subgroup analysis, weak threat models for explainability outputs, unclear annotation reliability protocols, and limited preregistered power calculations for both detection and pedagogical impact.</w:t>
      </w:r>
    </w:p>
    <w:p>
      <w:r>
        <w:t xml:space="preserve"> </w:t>
      </w:r>
    </w:p>
    <w:p>
      <w:pPr>
        <w:pStyle w:val="Heading2"/>
      </w:pPr>
      <w:r>
        <w:t>Abstract</w:t>
      </w:r>
    </w:p>
    <w:p>
      <w:r>
        <w:t>Undisclosed student use of generative AI in online assessments poses challenges for academic integrity, student dignity, and fair evaluation. This study tests whether authentic, data-based assessment designs combined with clear guidance and privacy-preserving instructor signals (reason_codes) reduce undisclosed AI use relative to detection-only approaches. We propose a mixed-methods experimental protocol: a randomized cluster trial across courses, an annotated corpus of reason_codes mapped to rubric constructs, and privacy-preserving explainability outputs with explicit threat modeling. Main contributions are (a) an operationalized reason_code codebook linked to pedagogy, (b) preregistered power and subgroup-analysis plans based on Monte Carlo simulations, and (c) empirical evaluation of privacy-utility tradeoffs using differential privacy (DP) parameters and embedding-cluster redaction tests. Expected outcomes are quantified changes in undisclosed AI incidence, validated instructor interpretability (rubric concordance), and measured equity across subgroups. Results will inform whether shifting from detection-first to pedagogy-plus-signal designs yields lower covert AI use while maintaining privacy and fairness.</w:t>
      </w:r>
    </w:p>
    <w:p>
      <w:r>
        <w:t xml:space="preserve"> </w:t>
      </w:r>
    </w:p>
    <w:p>
      <w:pPr>
        <w:pStyle w:val="Heading2"/>
      </w:pPr>
      <w:r>
        <w:t>Experiments</w:t>
      </w:r>
    </w:p>
    <w:p>
      <w:r>
        <w:t>Datasets: (1) Real-world submissions from 12 undergraduate courses across three disciplines (humanities, social sciences, engineering), targeting total N per arm ≥ 600 students and minimum prespecified subgroup n ≥ 50; (2) Annotated corpus of 3,000 student drafts labeled with dual-rater reason_codes and adjudication gold labels; (3) Synthetic/adversarial variants generated by multiple LLMs to test evasion. Baselines: (A) detection-only pipeline using standard AI-output classifier; (B) design-only (authentic tasks + guidance, no analytic signals); (C) control (business-as-usual). Arms: cluster-RCT randomizing course sections into (1) authentic+reason_codes+privacy protections, (2) detection-only, (3) control. Evaluation metrics: incidence of undisclosed AI use (binary, measured by adjudicated gold labels), AUC (area under ROC curve; measure of classifier discrimination), precision@k, recall at fixed FPR=5%, subgroup FPR and TPR by protected groups, rubric_concordance measured by Krippendorff’s alpha (agreement between reason_codes and human rubric scores), calibration error (ECE), instructor trust score (validated survey), and measured learning gains (pre/post rubric scores). Experimental setup: preregistered Monte Carlo power simulations varying true prevalence 1–30%, label noise 5–20%, and effect sizes d=0.2–0.6 to choose N so AUC 95% CI width ≤ ±0.05; interim analysis at 50% enrollment with adaptive sample-size rule. Annotation protocol: dual independent raters, 100-item calibration, target Cohen’s kappa ≥ 0.7, senior adjudicator. Privacy ablations: vary DP epsilon ∈ {0.1, 1.0, 8.0} (epsilon controls privacy noise strength), and feature-frequency threshold k ∈ {5,10,20,50}. Ablation studies: remove reason_codes, remove DP/no redaction, and vary k to measure impact on interpretability metrics (rubric_concordance) and detection metrics (AUC, FPR drift). Robustness tests: leave-one-course-out cross-validation, LLM-agnostic red-team attacks (paraphrase, style transfer), and embedding-cluster reconstruction experiments measuring deanonymization rates per cluster size.</w:t>
      </w:r>
    </w:p>
    <w:p>
      <w:r>
        <w:t xml:space="preserve"> </w:t>
      </w:r>
    </w:p>
    <w:p>
      <w:pPr>
        <w:pStyle w:val="Heading2"/>
      </w:pPr>
      <w:r>
        <w:t>Risk Factors And Limitations</w:t>
      </w:r>
    </w:p>
    <w:p>
      <w:r>
        <w:t>Technical failure modes: classifiers can be evaded by paraphrasing or new LLMs, reducing detection utility; differential privacy (DP) noise may degrade instructor interpretability; embedding-cluster abstraction may still leak rare identifying tokens under some attacks. Data and annotation biases: rater disagreement or biased gold labels can skew estimates; international students or nonnative language patterns may increase false positives. Statistical limits: required sample sizes for tight subgroup CIs may be larger than available enrollment, leading to underpowered fairness tests. Scalability and compute: DP accounting, Monte Carlo power sims, and red-team evaluations require substantial compute and storage. Generalization limits: results from selected courses or institutions may not transfer to other disciplines, levels, or cultural contexts. Legal and ethical constraints: FERPA/GDPR requirements, IRB conditions, and institutional policies may restrict data retention or sharing and limit reproducibility. Organizational risks: governance delays, insufficient stakeholder buy-in, or insider threats could impede deployment. Measurement limits: instructor trust and learning-gain instruments may be noisy or influenced by extraneous classroom factors.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