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ethical_review_ssh_experiences</w:t>
      </w:r>
    </w:p>
    <w:p>
      <w:r>
        <w:t xml:space="preserve"> </w:t>
      </w:r>
    </w:p>
    <w:p>
      <w:pPr>
        <w:pStyle w:val="Heading2"/>
      </w:pPr>
      <w:r>
        <w:t>Title</w:t>
      </w:r>
    </w:p>
    <w:p>
      <w:r>
        <w:t>Mixed-methods investigation of researchers' perceptions of ethical review systems in Swedish social science and humanities</w:t>
      </w:r>
    </w:p>
    <w:p>
      <w:r>
        <w:t xml:space="preserve"> </w:t>
      </w:r>
    </w:p>
    <w:p>
      <w:pPr>
        <w:pStyle w:val="Heading2"/>
      </w:pPr>
      <w:r>
        <w:t>Short Hypothesis</w:t>
      </w:r>
    </w:p>
    <w:p>
      <w:r>
        <w:t>Researchers receiving ethical review outcomes from expert reviewers combined with proportionate review procedures will report higher procedural-fairness scores than researchers receiving reviews from generalist reviewers with exhaustive procedures.</w:t>
      </w:r>
    </w:p>
    <w:p>
      <w:r>
        <w:t xml:space="preserve"> </w:t>
      </w:r>
    </w:p>
    <w:p>
      <w:pPr>
        <w:pStyle w:val="Heading2"/>
      </w:pPr>
      <w:r>
        <w:t>Related Work</w:t>
      </w:r>
    </w:p>
    <w:p>
      <w:r>
        <w:t>Existing work evaluates research-ethics review mainly in biomedical contexts and uses procedural-justice scales and vignette experiments to measure perceptions. Prior approaches often rely on single-level analyses, ignore cluster structure (institution, discipline), or use ad-hoc missing-data handling. There is limited measurement validation tailored to social sciences and humanities (SSH), and legal/data-protection integration (DPIA, synthetic-data decisions) is rarely operationalized. Current limitations include weak attention to multilevel weighting for survey nonresponse, underpowered interaction tests for factorial vignettes, lack of SSH-specific item cognitive validation, and minimal published workflows for disclosure-risk metrics tied to sharing synthetic microdata. These gaps hinder robust, policy-relevant inference about how ethical-review design affects SSH researchers' perceptions.</w:t>
      </w:r>
    </w:p>
    <w:p>
      <w:r>
        <w:t xml:space="preserve"> </w:t>
      </w:r>
    </w:p>
    <w:p>
      <w:pPr>
        <w:pStyle w:val="Heading2"/>
      </w:pPr>
      <w:r>
        <w:t>Abstract</w:t>
      </w:r>
    </w:p>
    <w:p>
      <w:r>
        <w:t>This study investigates how features of ethical review systems influence Swedish social science and humanities researchers' perceptions of procedural fairness. We combine qualitative group interviews with a pre-registered 2×2×2 vignette survey experiment and validated measurement to test causal effects of reviewer expertise, proportionality of procedures, and timeliness. Main contributions are: (1) an SSH-adapted procedural-fairness scale with cognitive validation; (2) a multilevel, survey-weighted inferential pipeline that maps exact estimands to mixed-effects models accounting for institution and discipline clustering; and (3) reproducible disclosure-control rules, synthetic-data workflows, and DPIA-aligned consent language. Expected outcomes include validated measurement, precise estimates of main and interaction effects relevant to REC reform, power maps tying recruitment targets to detectable effect sizes, and transparent technical documentation (scripts, simulation grids, and risk reports) to support policy uptake. Results will inform proportional and discipline-sensitive ethical-review practices while preserving participant confidentiality.</w:t>
      </w:r>
    </w:p>
    <w:p>
      <w:r>
        <w:t xml:space="preserve"> </w:t>
      </w:r>
    </w:p>
    <w:p>
      <w:pPr>
        <w:pStyle w:val="Heading2"/>
      </w:pPr>
      <w:r>
        <w:t>Experiments</w:t>
      </w:r>
    </w:p>
    <w:p>
      <w:r>
        <w:t>Datasets: (1) Qualitative: seven semi-structured group interviews with 18 Swedish SSH researchers; (2) Survey experiment: pre-registered 2×2×2 vignette design (Expertise: expert vs generalist; Proportionality: proportionate vs exhaustive; Timeliness: fast vs delayed), target N=1,200 (150 per cell) collected with recruitment metadata and paradata. Baselines: (A) unweighted single-level linear models (ordinary least squares), (B) multilevel linear mixed-effects models without weights, (C) ordinal mixed models treating Likert items as ordered categories. Primary outcome: procedural-fairness scale score (treated as approximately continuous). Models: primary estimator = survey-weighted pseudo-likelihood linear mixed-effects model (REML) with random intercepts for institution and discipline; fixed effects include main factors and interactions, plus covariates (age band, gender, career stage, discipline category, institution type, prior REC experience, survey mode). Missing data: multiple imputation by chained equations (MICE) m=50 with predictive mean matching (for scale items) and ordinal/logistic methods for ordered/binary variables. Weighting: raking to auxiliary margins, generate 200 bootstrap replicate weights for SEs; use Holm correction for the two primary hypotheses. Evaluation metrics: standardized effect sizes (d), Wald test p-values, 95% CIs, reliability ω and Cronbach's α, model fit indices (AIC/BIC), design effect (DEFF), effective sample size, proportion-unique and k-anonymity for disclosure risk, and propensity-score MSE (pMSE) for synthetic-data utility. Comparisons/ablations: (1) weighted vs unweighted inference; (2) REML mixed model vs generalized ordinal mixed model; (3) MICE single-level vs two-level MI (jomo) to assess multilevel imputation impact; (4) real vs synthetic microdata utility comparison (pMSE and top-table differences). Robustness: Bayesian brms runs mirroring primary models.</w:t>
      </w:r>
    </w:p>
    <w:p>
      <w:r>
        <w:t xml:space="preserve"> </w:t>
      </w:r>
    </w:p>
    <w:p>
      <w:pPr>
        <w:pStyle w:val="Heading2"/>
      </w:pPr>
      <w:r>
        <w:t>Risk Factors And Limitations</w:t>
      </w:r>
    </w:p>
    <w:p>
      <w:r>
        <w:t>Technical failures: model non-convergence for complex random structures and instability with small numbers of clusters. Data biases: nonresponse may be Missing Not At Random (MNAR), producing biased estimates; paradata might be incomplete. Power limits: interactions smaller than d≈0.25 may be underpowered even at N=1,200. Disclosure risks: re-identification from rare combinations of covariates despite redaction; synthetic-data utility may not preserve all inference. Scalability: computational cost for large MI (m=50) and bootstrap weights with multilevel models increases runtime. Generalization: findings apply to Swedish SSH contexts and may not generalize to other countries or biomedical domains. Evaluation limits: Likert-scale treatment as continuous is an approximation and ordinal-models may yield different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