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homogeneity_corp_risk_perceptions</w:t>
      </w:r>
    </w:p>
    <w:p>
      <w:r>
        <w:t xml:space="preserve"> </w:t>
      </w:r>
    </w:p>
    <w:p>
      <w:pPr>
        <w:pStyle w:val="Heading2"/>
      </w:pPr>
      <w:r>
        <w:t>Title</w:t>
      </w:r>
    </w:p>
    <w:p>
      <w:r>
        <w:t>Bayesian text‑mining measurement of corporate risk‑perception homogeneity and its causal effect on systemic financial risk</w:t>
      </w:r>
    </w:p>
    <w:p>
      <w:r>
        <w:t xml:space="preserve"> </w:t>
      </w:r>
    </w:p>
    <w:p>
      <w:pPr>
        <w:pStyle w:val="Heading2"/>
      </w:pPr>
      <w:r>
        <w:t>Short Hypothesis</w:t>
      </w:r>
    </w:p>
    <w:p>
      <w:r>
        <w:t>A one‑standard‑deviation instrumented increase in cross‑firm homogeneity of corporate risk perceptions causes an increase in the 30‑day probability of systemwide financial cascades.</w:t>
      </w:r>
    </w:p>
    <w:p>
      <w:r>
        <w:t xml:space="preserve"> </w:t>
      </w:r>
    </w:p>
    <w:p>
      <w:pPr>
        <w:pStyle w:val="Heading2"/>
      </w:pPr>
      <w:r>
        <w:t>Related Work</w:t>
      </w:r>
    </w:p>
    <w:p>
      <w:r>
        <w:t>Existing approaches extract firm risk signals from texts or market series and then relate those signals to systemic outcomes using networks or reduced‑form regressions. Text‑mining methods typically produce aggregate tone or topic scores but often ignore measurement error and mixed data types (ordinal survey items plus continuous text indices). Latent‑factor and IRT (item response theory) models estimate unobserved beliefs but are frequently applied in isolation from network or agent‑based contagion models. Network and cascade studies reconstruct exposures using single best‑guess graphs (maximum‑likelihood or gravity priors) without propagating reconstruction uncertainty into systemic risk estimates. Identification strategies use macro shocks or volatility surprises as instruments but rarely pre‑register algebraic exclusion arguments, weak‑instrument thresholds, or MNAR (missing‑not‑at‑random) sensitivity grids. Limitations across methods include: (1) inadequate propagation of measurement uncertainty, (2) insufficient separation of mean versus dispersion effects, (3) neglected network endogeneity and missing‑node bias, and (4) weak reproducibility and privacy controls for sensitive network data.</w:t>
      </w:r>
    </w:p>
    <w:p>
      <w:r>
        <w:t xml:space="preserve"> </w:t>
      </w:r>
    </w:p>
    <w:p>
      <w:pPr>
        <w:pStyle w:val="Heading2"/>
      </w:pPr>
      <w:r>
        <w:t>Abstract</w:t>
      </w:r>
    </w:p>
    <w:p>
      <w:r>
        <w:t>We study whether firms’ risk perceptions becoming more similar (homogeneous) amplifies systemic financial risk. We extract perceived risks from corporate risk‑factor disclosures using a Bayesian mixed‑item latent‑factor model that combines ordinal vignette/survey responses and continuous text and market proxies (text tone, volatility, dispersion). We quantify homogeneity within and across sectors, propagate posterior measurement uncertainty into network reconstructions and an agent‑based contagion model, and estimate causal effects using high‑frequency instruments (central‑bank announcement surprises and VIX innovations). We predefine MNAR sensitivity grids and model selection rules to ensure transparent inference. The main contributions are: (1) a joint measurement framework that preserves mixed data types and uncertainty, (2) a preregistered causal pipeline linking perception homogeneity to cascade risk, and (3) systematic sensitivity analyses for missing data, network reconstruction, and privacy‑aware public releases. Expected outcomes include well‑identified estimates of how perception homogeneity affects cascade probability and loss tails, plus reproducible tools for policymakers to monitor perception‑driven systemic risk.</w:t>
      </w:r>
    </w:p>
    <w:p>
      <w:r>
        <w:t xml:space="preserve"> </w:t>
      </w:r>
    </w:p>
    <w:p>
      <w:pPr>
        <w:pStyle w:val="Heading2"/>
      </w:pPr>
      <w:r>
        <w:t>Experiments</w:t>
      </w:r>
    </w:p>
    <w:p>
      <w:r>
        <w:t>Datasets: (1) Firm risk‑factor disclosures (annual/quarterly risk sections), preprocessed text and topic/tone indices; (2) pilot vignette survey N=120 senior risk officers with ordinal responses; (3) high‑frequency market data (rate futures, VIX intraday) for instruments; (4) network sources (regulatory call reports, 13F holdings, payment/clearing logs where allowed). Baselines: (A) aggregate text‑tone mean, (B) PCA on text features + OLS, (C) frequentist factor model, (D) Bayesian mixed‑item latent model (proposed). Causal estimators: 2SLS (two‑stage least squares), LIML (linear instrumental variables robust to weak instruments), Bayesian two‑stage (joint posterior), and GMM (generalized method of moments). Metrics: primary — change in 30‑day cascade probability (percentage points) and change in 90‑day ES99 (expected shortfall at 99%); secondary — vignette mapping predictive R2 (explains fraction of variance), AUC for binary action prediction, network link AUC for reconstruction, WAIC/LOO for model comparison, tipping‑delta where inference flips. Setup: (1) Estimate latent RP per firm and time via Bayesian mixed‑item MCMC; (2) construct homogeneity measures (cross‑sectional variance, entropy, pairwise distance); (3) instrument homogeneity using I_CB (minute‑window rate‑futures surprises) and I_VIX (HAR residuals for VIX jumps) with predefined control set and event windows (±1, ±3, ±5 trading days); (4) run causal estimators and report AR‑robust CIs and LIML if F&lt;10; (5) propagate RP posterior draws into network reconstruction ensembles (max‑entropy, Bayesian ERGM) and ABM ensembles to compute cascade/ES distributions; (6) perform MNAR grid sensitivity for δ∈{−1.0:0.1:1.0}; (7) Ablations: remove dispersion from measurement to test mean‑only effects; swap instruments (Treasury‑repo surprises) to test exclusion; compare joint Bayesian vs two‑step pipelines; (8) Validation: out‑of‑sample vignette backtests (historical 2007–09 and Mar‑2020) and cross‑validation folds for predictive metrics.</w:t>
      </w:r>
    </w:p>
    <w:p>
      <w:r>
        <w:t xml:space="preserve"> </w:t>
      </w:r>
    </w:p>
    <w:p>
      <w:pPr>
        <w:pStyle w:val="Heading2"/>
      </w:pPr>
      <w:r>
        <w:t>Risk Factors And Limitations</w:t>
      </w:r>
    </w:p>
    <w:p>
      <w:r>
        <w:t>Instrument validity risk: I_CB and I_VIX may violate exclusion if they affect systemic outcomes through channels other than RP (e.g., liquidity injections). Weak instruments: low first‑stage strength reduces estimator reliability. Measurement error: text indices and vignette self‑reports may be noisy and biased, and mismeasurement can bias causal estimates if not fully accounted for. MNAR non‑identifiability: extreme missingness or nonrandom nonresponse can make RP partially unidentified despite sensitivity grids. Network reconstruction endogeneity: edges may form or reweight in response to shocks, confounding diffusion estimates. Missing coverage: cross‑border and nonbank exposures may be absent, limiting generalizability. Privacy constraints: differential privacy targets (ε≤1) or k‑anonymity (k≥5) may not be achievable without destroying utility for network statistics. Computational cost: joint Bayesian MCMC plus ABM ensembles require large HPC resources and may limit repeated pre‑registered simulations. External validity: results may not generalize across jurisdictions or to small nonfinancial firms. Response bias: vignette pilots may not represent the broader population of risk officers.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