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repair_initiation_esl_ca</w:t>
      </w:r>
    </w:p>
    <w:p>
      <w:r>
        <w:t xml:space="preserve"> </w:t>
      </w:r>
    </w:p>
    <w:p>
      <w:pPr>
        <w:pStyle w:val="Heading2"/>
      </w:pPr>
      <w:r>
        <w:t>Title</w:t>
      </w:r>
    </w:p>
    <w:p>
      <w:r>
        <w:t>A conversation-analytic study of how multimodal repair initiations affect immediate uptake in Ghanaian ESL classroom interactions</w:t>
      </w:r>
    </w:p>
    <w:p>
      <w:r>
        <w:t xml:space="preserve"> </w:t>
      </w:r>
    </w:p>
    <w:p>
      <w:pPr>
        <w:pStyle w:val="Heading2"/>
      </w:pPr>
      <w:r>
        <w:t>Short Hypothesis</w:t>
      </w:r>
    </w:p>
    <w:p>
      <w:r>
        <w:t>Repair initiations that include multimodal cues (gaze, gesture, or prosodic reset) increase the probability that the targeted recipient produces measurable uptake within 2000 milliseconds compared to repair initiations without these multimodal cues.</w:t>
      </w:r>
    </w:p>
    <w:p>
      <w:r>
        <w:t xml:space="preserve"> </w:t>
      </w:r>
    </w:p>
    <w:p>
      <w:pPr>
        <w:pStyle w:val="Heading2"/>
      </w:pPr>
      <w:r>
        <w:t>Related Work</w:t>
      </w:r>
    </w:p>
    <w:p>
      <w:r>
        <w:t>Conversation analysis (CA) studies of classroom repair document detailed interactional formats of repair initiation and link formats to uptake, but most work is qualitative, uses small corpora, and lacks reproducible, quantitative validation. Recent SLA studies relate uptake to learning outcomes but rarely integrate multimodal signals systematically. Existing quantitative treatments often use an arbitrary time window for uptake, do not validate that cutoff empirically, and rarely model annotation error from multimodal coding. Prior multimodal interaction work provides operational definitions for gaze, gesture, and prosody but often treats them separately rather than as combined cues. Limitations include: small or convenience samples, inconsistent temporal alignment rules, lack of preregistered primary hypotheses, limited measurement-error correction, and weak handling of clustering by speaker/session. These gaps reduce comparability across studies and limit claims about which initiation features causally relate to uptake.</w:t>
      </w:r>
    </w:p>
    <w:p>
      <w:r>
        <w:t xml:space="preserve"> </w:t>
      </w:r>
    </w:p>
    <w:p>
      <w:pPr>
        <w:pStyle w:val="Heading2"/>
      </w:pPr>
      <w:r>
        <w:t>Abstract</w:t>
      </w:r>
    </w:p>
    <w:p>
      <w:r>
        <w:t>This study examines how multimodal features of repair initiation—specifically gaze, gesture, and prosodic resets—relate to immediate uptake in Ghanaian ESL classroom interactions, using a conversation-analytic framework and quantitative validation. We analyze a 52-hour corpus of classroom recordings and operationalize uptake as measurable learner response within a 2000 ms window. The approach combines preregistered empirical validation of the 2000 ms cutoff (ROC and latent-class analyses), mixed-effects regression for binary immediate uptake, time-to-event models for latency, and measurement-error correction using Bayesian latent-class models plus SIMEX. Main contributions are: (1) empirically justified temporal and multimodal operational rules for repair initiation; (2) reproducible analytic pipelines with containerized code and synthetic minimal datasets; and (3) quantified effects of multimodal cues on immediate uptake with reliability and measurement-error transparently reported. Expected outcomes include validated cutoffs, effect-size estimates for multimodal cues, and documented annotation and analysis artifacts to support reproducibility and classroom-relevant interpretation.</w:t>
      </w:r>
    </w:p>
    <w:p>
      <w:r>
        <w:t xml:space="preserve"> </w:t>
      </w:r>
    </w:p>
    <w:p>
      <w:pPr>
        <w:pStyle w:val="Heading2"/>
      </w:pPr>
      <w:r>
        <w:t>Experiments</w:t>
      </w:r>
    </w:p>
    <w:p>
      <w:r>
        <w:t>Datasets: 52 hours of audio-video recordings from Ghanaian ESL classrooms, segmented into initiation events; expected analyzable events: 500–700 initiation events across 50–100 speakers (minimum usable design: 30 speakers × 6 events if ICC≤0.05). Baselines: (A) repair initiations coded using verbal-turn cues only (no multimodal information); (B) fixed 2000 ms uptake window versus ROC-derived optimal cutoff; (C) uncorrected annotations versus measurement-error-corrected annotations. Primary outcome: binary immediate uptake within 2000 ms. Secondary outcomes: latency to uptake (ms) and graded uptake (none/partial/full). Models: primary—logistic generalized linear mixed model (GLMM) with logit link, random intercepts for speaker and session, test random slopes for initiation format by speaker; time-to-event—Cox proportional hazards with Schoenfeld tests and Weibull fallback; exploratory—cumulative ordinal logistic mixed model. Measurement-error corrections: Bayesian latent-class models seeded by coder confusion matrices (Dirichlet priors) and SIMEX for continuous predictors. Feature sets: composite sum-score (count of cues), PCA-derived factors, and individual cue indicators (gaze, gesture, prosody). Evaluation metrics: AUC (ROC), odds ratios (OR) with 95% CI, absolute uptake probability differences, hazard ratios (HR) with 95% CI, model AIC/BIC, entropy for LCA, Krippendorff’s alpha for interrater reliability, and calibration plots. Experimental setup: predefine random seeds, publish R/Python scripts and parameter JSONs; use clustered 5-fold cross-validation at speaker level; apply Holm-Bonferroni for primary hypothesis family and Benjamini-Hochberg FDR for exploratory tests. Ablation studies: (1) remove gaze from feature set; (2) remove gesture; (3) remove prosody; (4) replace composite sum-score with PCA factors; (5) compare corrected vs uncorrected annotation pipelines. Sensitivity analyses: vary uptake window ±300 ms, vary misclassification thresholds (5%/10%/15%), and vary ICC assumptions in simulations. Deliverables: effect estimates for each model, ROC/LCA validation plots, simulation mapping OR→absolute differences at baseline uptake p0={0.10,0.25,0.50}, and containerized reproducible code.</w:t>
      </w:r>
    </w:p>
    <w:p>
      <w:r>
        <w:t xml:space="preserve"> </w:t>
      </w:r>
    </w:p>
    <w:p>
      <w:pPr>
        <w:pStyle w:val="Heading2"/>
      </w:pPr>
      <w:r>
        <w:t>Risk Factors And Limitations</w:t>
      </w:r>
    </w:p>
    <w:p>
      <w:r>
        <w:t>Annotation noise and low interrater reliability (Krippendorff’s alpha &lt;0.80) may bias estimates; temporal alignment errors (mis-timed gaze/gesture onsets) can misclassify cue presence; measurement-error corrections may be sensitive to small double-coding samples and Dirichlet prior choices. Sample size and clustering: high intraclass correlation (ICC) across speakers or sessions reduces effective sample size and power; recommended event targets may be infeasible in some classrooms. Causal claims are constrained by time-varying confounding (prior turns, teacher prompts, task shifts) and require strong, untestable exchangeability assumptions; sensitivity analyses can only partially bound bias. Deidentification constraints (voice transform, face blur) limit public sharing of raw AV data and may alter some acoustic measures. Computational limits: Bayesian latent-class models and complex random-effects structures may not converge or may be slow; fallback simplified models may reduce precision. Generalization is limited: findings from Ghanaian ESL classrooms may not extend to other languages, age groups, or classroom cultures.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