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military_board_audit_earnings_pk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staggered difference-in-differences study of military experience on corporate boards and audit quality effects on earnings management in Pakistan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Appointing military-experienced directors to corporate boards causes a reduction in absolute discretionary accruals for non-financial firms listed on the Pakistan Stock Exchange, and this reduction is amplified in firms with higher audit quality.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studies board composition and director backgrounds as governance mechanisms, and separately examines audit quality and earnings management using accrual and real-activity measures. Empirical approaches commonly rely on cross-sectional regressions, fixed-effects panels, or simple event windows; some use instrumental variables to address selection. Limitations remain: (1) staggered or time-varying board changes create pre-trend and heterogeneity problems that simple DiD or pooled FE can mis-estimate; (2) IV studies often face weak instruments and unclear local average treatment interpretation; (3) director military status is noisy in archival data and suffers measurement error and missing biographies; (4) many studies focus on developed markets, limiting transferability to emerging markets with different audit and governance institutions; (5) spillovers via board interlocks and geographic clustering are rarely tested. These gaps motivate a design that addresses staggered timing, measurement error, IV diagnostics, spillovers, and emerging-market context.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military experience on corporate boards affects earnings management in non-financial firms listed on the Pakistan Stock Exchange. We evaluate the causal effect of introducing military-affiliated directors on earnings-management outcomes, and test whether high audit quality strengthens any governance effect. The primary approach applies a staggered difference-in-differences event-study design that accounts for heterogeneous treatment timing; secondary analyses use pre-specified instrumental-variable strategies and measurement-error corrections. The main contribution is a transparently preregistered, reproducible protocol that combines robust causal inference, explicit measurement of military experience, and a composite audit-quality index to assess moderation. Expected outcomes include precise estimates of the effect of veteran directors on accrual-based and real earnings management, diagnostics for estimator divergence, and policy-relevant evidence on whether audit quality amplifies board-level governance. Results will inform governance debates in emerging markets by clarifying causal links between director backgrounds, auditor monitoring, and earnings-management behavior.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firm-level financials and identifiers from Compustat/CRSP linked to BoardEx/ExecuComp for director lists, Audit Analytics and PCAOB files for audit data, EDGAR filings and biographies (2010–2022) for Pakistan-listed non-financial firms; labeled biography validation set (n&gt;=2,000). Outcomes: primary = absolute discretionary accruals (|DA|) computed as Kothari-style residuals (discretionary accruals = accruals unexplained by normal drivers); secondary = signed discretionary accruals, real earnings management metrics (abnormal cash flow, abnormal production, abnormal discretionary expenses), restatement dummy, and CAQI (composite audit-quality index). Primary estimator and baselines: Sun–Abraham staggered DiD event-study (event window −5..+5; leads −5..−1; lags 0..+5) as primary; baselines and robustness estimators: OLS firm and year FE DiD, Callaway–Sant’Anna group-time ATT, stacked DiD, propensity-score reweighted DiD, 2SLS IV, LIML, Anderson–Rubin CIs. Instruments (secondary): exogenous veteran-supply shocks (BRAC/base closure exposure, draft-cohort appointment exposure, forced-turnover events) with first-stage diagnostics. Measurement and missing-data procedures: transformer-based classifier for veteran status with deterministic cutoffs and posterior probabilities; SIMEX (measurement-error correction), regression-calibration, multiple imputation (m=50) and IPW for selection. Evaluation metrics: estimated treatment coefficient, 95% CI, p-values, pre-trend joint p-value, first-stage F-statistic, Kleibergen–Paap, partial R2, MDE/power tables, changes &gt;10% for spillover tests, and pooled DiD/IV bootstrap equality test. Ablations and comparisons: (a) |DA| vs signed DA; (b) with vs without SIMEX/regression-calibration; (c) deterministic classifier thresholds {0.70,0.80,0.90,0.95}; (d) primary DiD vs IV pooling rules (bootstrap equality test vs separate reporting); (e) CAQI weighting via CFA vs PCA vs equal weights. Pre-specified heterogeneity tests: by audit-quality strata, board independence, firm size, crisis periods. All code, seeds, software versions, and bootstrap replication counts will be recorded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NLP classifier mislabels veteran status and misclassification may correlate with firm or director characteristics (e.g., name-origin or rank), biasing estimates. (Technical term) Instrument weakness: IVs may have low first-stage strength (weak instruments), producing imprecise or biased IV estimates and limiting causal interpretation to LATE (local average treatment effect). Pre-trend violations: staggered timing may violate parallel trends, threatening DiD validity. Spillovers and SUTVA breaches: board interlocks or geographic clustering can transmit treatment effects to controls, contaminating estimates. Missing data: biographies may be missing not at random (MNAR), and multiple imputation assumptions may fail. Power limits: subgroup and mediation tests may be underpowered, especially for rare events or small treated cells. Generalizability: results from Pakistan may not extend to other countries with different governance or audit systems. Computational cost: bootstrapping, SIMEX, and m=50 imputations are resource intensive. Causal mediation limits: mediation methods require strong assumptions that may not hold, limiting claims about mechanisms.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