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saudi_21cs_teacher_integration</w:t>
      </w:r>
    </w:p>
    <w:p>
      <w:r>
        <w:t xml:space="preserve"> </w:t>
      </w:r>
    </w:p>
    <w:p>
      <w:pPr>
        <w:pStyle w:val="Heading2"/>
      </w:pPr>
      <w:r>
        <w:t>Title</w:t>
      </w:r>
    </w:p>
    <w:p>
      <w:r>
        <w:t>A sequential exploratory mixed-methods study of English and mathematics teachers' integration of 21st-century skills and barriers in Saudi classrooms</w:t>
      </w:r>
    </w:p>
    <w:p>
      <w:r>
        <w:t xml:space="preserve"> </w:t>
      </w:r>
    </w:p>
    <w:p>
      <w:pPr>
        <w:pStyle w:val="Heading2"/>
      </w:pPr>
      <w:r>
        <w:t>Short Hypothesis</w:t>
      </w:r>
    </w:p>
    <w:p>
      <w:r>
        <w:t>Delivering a targeted micro-professional-development (micro-PD) intervention to teachers causes an increase of at least 0.2 standard deviations in the observed rate of teacher-assigned 21st-century skills tasks (creativity, collaboration, critical thinking, communication) over one school term compared with teachers who do not receive the intervention.</w:t>
      </w:r>
    </w:p>
    <w:p>
      <w:r>
        <w:t xml:space="preserve"> </w:t>
      </w:r>
    </w:p>
    <w:p>
      <w:pPr>
        <w:pStyle w:val="Heading2"/>
      </w:pPr>
      <w:r>
        <w:t>Related Work</w:t>
      </w:r>
    </w:p>
    <w:p>
      <w:r>
        <w:t>Prior work documents barriers to integrating 21st-century skills (21CS) in classrooms, including limited teacher training, curriculum and assessment pressures, resource constraints, and cultural or gender-stream challenges. Existing approaches rely heavily on teacher self-report, small qualitative samples, or single-method observation protocols. Measurement weaknesses include inconsistent coding rules, low intercoder reliability, and little attention to psychometric linking across task variants or to missing-data bias. Studies often omit explicit probabilistic decision rules for remediation, lack multilevel power justification for clustered classroom data, and under-specify ethics for audio capture in gender-segregated settings. These gaps limit reproducibility, produce unclear remediation triggers, and reduce policy relevance in contexts like Saudi Arabia where gender streams, language mediation, and MOE alignment matter.</w:t>
      </w:r>
    </w:p>
    <w:p>
      <w:r>
        <w:t xml:space="preserve"> </w:t>
      </w:r>
    </w:p>
    <w:p>
      <w:pPr>
        <w:pStyle w:val="Heading2"/>
      </w:pPr>
      <w:r>
        <w:t>Abstract</w:t>
      </w:r>
    </w:p>
    <w:p>
      <w:r>
        <w:t>This study measures how English and mathematics teachers in Saudi Arabia integrate four 21st-century skills—creativity, collaboration, critical thinking, and communication—into classroom instruction and tests whether a brief targeted professional-development intervention increases observed integration. We use a sequential exploratory mixed-methods design: phase I qualitative work (observations and interviews) builds a coding rubric; phase II a pilot and larger quantitative study apply structured classroom observations, psychometric linking of artifact rubrics, and multilevel analyses. Main contributions are a prespecified coding manual with operational binary/ordinal rules, a G-theory based reliability plan (G-theory estimates where G is a simple measure of consistency across raters and tasks), Monte Carlo power grids that include measured reliability effects, and probabilistic remediation decision rules based on bootstrap and Bayesian posteriors. Expected outcomes include validated instruments and sample-size guidance for MOE decisions, quantified barriers by subgroup, and an evidence-based trigger system for staged supports that is transparent and reproducible.</w:t>
      </w:r>
    </w:p>
    <w:p>
      <w:r>
        <w:t xml:space="preserve"> </w:t>
      </w:r>
    </w:p>
    <w:p>
      <w:pPr>
        <w:pStyle w:val="Heading2"/>
      </w:pPr>
      <w:r>
        <w:t>Experiments</w:t>
      </w:r>
    </w:p>
    <w:p>
      <w:r>
        <w:t>Datasets: Phase I qualitative: audio-linked classroom observations and semi-structured interviews from 6–8 pilot schools, stratified by gender stream, urban/rural, and resource level. Phase II quantitative pilot: 60–80 coded clips (tasks) across English/Math, 3–5 coders, 15% routine double-coding, 10–15% triple-coding. Full study: simulation-derived sample grids (examples below) and matched field data across 30–60 schools. Baselines: (A) no-intervention teachers (status quo), (B) teachers receiving standard MOE PD (if available). Intervention: micro-PD package delivered to treatment teachers. Evaluation metrics: task-assignment rate = proportion of lessons with at least one coded 21CS task; time-on-task = percentage of lesson time students engage in 21CS activity; participation rate = share of students active per task; artifact quality score = IRT-calibrated rubric latent score (graded-response IRT explained as a model that scores ordered rubric ratings to a single scale); intercoder reliability = G-coefficient from G-theory (G is a reliability index like Cronbach's alpha but for multiple facets); Bayesian posterior P(gap&gt;0.2 SD) for subgroup gaps; power and 95% CI half-width for estimated effects. Experimental setup: randomize teachers within matched schools to intervention or control where feasible; stratify sampling by gender stream and grade. Monte Carlo simulations: cross-classified hierarchy students↔lessons↔teachers↔schools; vary ICCs {0.02,0.05,0.10,0.20,0.30}; teachers per school {4,6,8}; lessons per teacher {4,8,12}; simulate 1,000–5,000 iterations per cell; include attrition scenarios {0%,10%,20%}; incorporate measured reliability r in attenuation formula d_obs = d_true * sqrt(r) and compute required sample sizes to detect d_true=0.2 SD with 80% power or CI half-width ≤0.10 SD. Ablation studies: (1) Reliability ablation: compare power/CI under r={0.6,0.7,0.8}; (2) Triple-code selection: compare random stratified versus targeted-high-variance selection for triple-coded clips on G-coefficient bias and SE; (3) Decision-rule ablation: compare fixed cutoff (gap&gt;0.2 SD) versus probabilistic triggers (P(gap&gt;0.2) thresholds 0.75/0.90/0.95) and compute Type I/II rates under simulated noise. Missing-data experiments: compare multilevel multiple imputation (jomo/mice) with MNAR sensitivity using pattern-mixture models (delta shifts in imputed logits) and selection models with weakly informative priors. Analysis plan: use lme4 for quick frequentist checks, brms/rstanarm for Bayesian multilevel models; compute bootstrap BCa CIs (1,000–2,000 resamples) for variance components; report reproducible scripts and simulated data.</w:t>
      </w:r>
    </w:p>
    <w:p>
      <w:r>
        <w:t xml:space="preserve"> </w:t>
      </w:r>
    </w:p>
    <w:p>
      <w:pPr>
        <w:pStyle w:val="Heading2"/>
      </w:pPr>
      <w:r>
        <w:t>Risk Factors And Limitations</w:t>
      </w:r>
    </w:p>
    <w:p>
      <w:r>
        <w:t>Low intercoder reliability: if G-coefficient &lt;0.70, observed effects attenuate and false remediation triggers rise. Cultural and logistical constraints: gender-segregated schooling may limit observer deployment and audio capture; female-stream data may require female-only raters or remote review. Audio diarization accuracy: automated speaker separation and speech-to-text may be below required thresholds, forcing manual coding and increasing cost. Missing not at random (MNAR): lesson clips missing due to sensitivity or refusal can bias estimates; sensitivity analyses may not fully resolve bias. Attrition: teacher or school dropout can reduce power, especially in clustered designs. IRT linking failure: insufficient anchor items or large DIF may prevent stable linking across task variants, limiting comparability. Simulation compute load: exhaustive Monte Carlo grids with Bayesian models may be compute-intensive. Generalization limits: results may not generalize beyond Saudi policy contexts, grade bands, or subjects studied. Ethical and data governance constraints: MOE requirements on storage, retention, or access can limit data sharing and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