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ses_socialcapital_digilit_heaccess</w:t>
      </w:r>
    </w:p>
    <w:p>
      <w:r>
        <w:t xml:space="preserve"> </w:t>
      </w:r>
    </w:p>
    <w:p>
      <w:pPr>
        <w:pStyle w:val="Heading2"/>
      </w:pPr>
      <w:r>
        <w:t>Title</w:t>
      </w:r>
    </w:p>
    <w:p>
      <w:r>
        <w:t>Regression-based mediation analysis of social capital, digital literacy, and parental socioeconomic status in access to higher education in China</w:t>
      </w:r>
    </w:p>
    <w:p>
      <w:r>
        <w:t xml:space="preserve"> </w:t>
      </w:r>
    </w:p>
    <w:p>
      <w:pPr>
        <w:pStyle w:val="Heading2"/>
      </w:pPr>
      <w:r>
        <w:t>Short Hypothesis</w:t>
      </w:r>
    </w:p>
    <w:p>
      <w:r>
        <w:t>Higher parental socioeconomic status increases the probability that Chinese high school graduates matriculate to higher education by increasing students' social capital and digital literacy, and social capital positively interacts with digital literacy to further raise matriculation probability.</w:t>
      </w:r>
    </w:p>
    <w:p>
      <w:r>
        <w:t xml:space="preserve"> </w:t>
      </w:r>
    </w:p>
    <w:p>
      <w:pPr>
        <w:pStyle w:val="Heading2"/>
      </w:pPr>
      <w:r>
        <w:t>Related Work</w:t>
      </w:r>
    </w:p>
    <w:p>
      <w:r>
        <w:t>Prior studies link social capital and digital literacy to higher education access and show socioeconomic status (SES) amplifies those benefits. Common analytic approaches include standard adjusted regressions, structural equation models (SEM) treating mediators as observed factors, and occasional instrumental-variable strategies to address confounding. Limitations across this literature are: reliance on cross-sectional data that limits causal claims; inconsistent measurement of social capital and digital literacy (making comparisons hard); small or convenience samples that prevent complex mediation models; limited use of modern causal mediation estimators (for example, g-formula or TMLE) that better handle high-dimensional nuisance parts; insufficient attention to positivity and overlap diagnostics (so estimates may rely on extrapolation); weak handling of survey design and clustering; and lack of pre-registered MNAR sensitivity analyses for missing data.</w:t>
      </w:r>
    </w:p>
    <w:p>
      <w:r>
        <w:t xml:space="preserve"> </w:t>
      </w:r>
    </w:p>
    <w:p>
      <w:pPr>
        <w:pStyle w:val="Heading2"/>
      </w:pPr>
      <w:r>
        <w:t>Abstract</w:t>
      </w:r>
    </w:p>
    <w:p>
      <w:r>
        <w:t>This study examines how parental socioeconomic status (SES) shapes access to higher education among Chinese high school graduates by acting through social capital and digital literacy. We use regression-based causal mediation strategies to estimate total, direct, and mediated effects and to test whether social capital amplifies the benefit of digital literacy. The contribution is an explicit, reproducible analytic pipeline that combines latent measurement of mediators, rigorous overlap and balance diagnostics, and multiple estimators including multilevel SEM when feasible and doubly robust estimators (TMLE/g-formula) as alternatives. Expected outcomes include quantification of the share of SES effects explained by each mediator, evidence on mediator interaction, and transparency about robustness to limited overlap and missing-data assumptions. Results will inform policy by identifying which pathways most strongly transmit SES advantages into higher-education entry and by clarifying where interventions on digital skills or brokerage networks would most reduce inequities.</w:t>
      </w:r>
    </w:p>
    <w:p>
      <w:r>
        <w:t xml:space="preserve"> </w:t>
      </w:r>
    </w:p>
    <w:p>
      <w:pPr>
        <w:pStyle w:val="Heading2"/>
      </w:pPr>
      <w:r>
        <w:t>Experiments</w:t>
      </w:r>
    </w:p>
    <w:p>
      <w:r>
        <w:t>Datasets: primary survey of n=629 recent Chinese high school graduates sampled across western, central, and eastern provinces with design weights, school cluster IDs, mediator items for social capital and digital literacy, parental SES items (education categories, income brackets, occupational codes), and outcomes: FAFSA-like completion proxy, number of college applications, offers, matriculation (binary), and match quality (ordinal). Baselines: (B1) weighted logistic regression of matriculation on SES and pre-exposure covariates only; (B2) weighted regression adding observed mediator composites; (B3) two-stage CFA/IRT to derive latent mediator scores followed by product-of-coefficients mediation (standard mediation); (B4) multilevel SEM with latent mediators (MSEM) when convergence possible; (B5) TMLE or g-formula mediation using SuperLearner for nuisance estimation. Evaluation metrics: estimated total effect (TE), natural direct effect (NDE), natural indirect effects (NIE) for social capital and digital literacy, interventional (stochastic) indirect effects as robustness; 95% confidence intervals via 1000 bootstrap replicates; standardized effect sizes (SD units); model-fit indices for SEM: CFI, RMSEA, SRMR (CFI is comparative fit index, RMSEA is root mean squared error of approximation, SRMR is standardized root mean square residual); overlap diagnostics: kernel density plots, weighted ASMD (absolute standardized mean difference) with threshold 0.10, and ESS (effective sample size = (sum w)^2 / sum(w^2)). Experimental setup: incorporate survey weights and cluster-robust SEs in all estimators; when MSEM is infeasible due to sample size, use two-stage CFA with 50 multiple imputations for latent-score uncertainty. SuperLearner library for TMLE: GLM, LASSO, random forest, xgboost; use 5-fold cross-validation and fixed seed. Ablations/comparisons: (A1) latent mediators versus observed composite scores; (A2) trimming grid comparison at symmetric trims 0%,1%,3%,5%,10% to test sensitivity to positivity; (A3) estimator comparison MSEM versus two-stage versus TMLE/g-formula; report trimmed and untrimmed effect estimates and tipping-point contours for MNAR sensitivity.</w:t>
      </w:r>
    </w:p>
    <w:p>
      <w:r>
        <w:t xml:space="preserve"> </w:t>
      </w:r>
    </w:p>
    <w:p>
      <w:pPr>
        <w:pStyle w:val="Heading2"/>
      </w:pPr>
      <w:r>
        <w:t>Risk Factors And Limitations</w:t>
      </w:r>
    </w:p>
    <w:p>
      <w:r>
        <w:t>Sample size and model complexity: n=629 may be underpowered for full joint multilevel SEM with latent mediators and school clusters, so some estimators may not converge. Measurement error: mediator measurement can be noisy; latent measurement helps but residual error will bias mediation estimates. Unmeasured confounding: causal mediation estimands rely on sequential ignorability; unmeasured mediator-outcome confounders can bias NIE estimates. Positivity and overlap: limited overlap in covariate support may force trimming or estimator switching and restrict generalizability; diagnostics (ASMD and ESS) may show insufficient overlap. Missing data: nonrandom missingness (MNAR) in mediators or outcomes can change conclusions; pre-specified sensitivity ranges may still not cover reality. Survey and clustering limits: complex survey design and school clustering reduce effective sample size and complicate inference. External validity: findings from this sample may not generalize beyond sampled provinces or cohorts. Computational limits: Bayesian MSEM or deep SuperLearner ensembles may be computationally intensive. Privacy and ethics: collecting passive digital traces or sensitive family SES data raises consent and disclosure risks for minors and households.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