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accented_malayalam_acoustic_hate_detection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deep learning framework with multi-level acoustic feature engineering and augmentation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1D-CNN trained on multi-level acoustic features (ZCR, STFT, MFCC, RMS, mel spectrogram) combined with data augmentation (noise at 0–10 dB SNR, time stretching ±10%, pitch shifting ±2 semitones) and SMOTE class balancing will increase macro F1 for hate-presence detection on accented Malayalam speech by at least 5 percentage points relative to a baseline 1D-CNN trained on MFCC only without augmentation or SMOTE, under a speaker-independent evaluation.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hate speech detection has focused mainly on text or on speech with limited acoustic feature sets and small, non-accent-stratified corpora. Existing speech-based approaches often rely on MFCCs (short-term spectral features) or ASR transcripts and then apply text classifiers; this leaves systems vulnerable to ASR errors and accent variability. Studies using deep models show gains but rarely evaluate speaker-independent or cross-dataset generalization, and they seldom test noise robustness or per-accent fairness. Class imbalance has been addressed in prior work by simple up/down-sampling, not by synthetic minority oversampling (SMOTE) tuned for audio features. In summary, unresolved issues are: (1) limited acoustic feature richness, (2) weak calibration for ASR errors and accents, (3) insufficient multi-level validation (speaker-independent, cross-dataset, noise-perturbed), and (4) lack of balanced, augmentation-aware training to reduce bias across accents.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 speech detection in Malayalam speech that varies by accent. We propose a reproducible deep learning framework that extracts multi-level acoustic features—zero-crossing rate (ZCR), short-time Fourier transform (STFT), mel-frequency cepstral coefficients (MFCC), root-mean-square energy (RMS), and mel spectrogram—to form rich, complementary representations. The pipeline applies controlled data augmentation (ambient noise 0–10 dB SNR, time stretching ±10%, pitch shift ±2 semitones) and SMOTE balancing (synthetic minority oversampling) before training classifiers including a 1D convolutional neural network (1D-CNN) and tree-based models (Random Forest, XGBoost, LightGBM). Evaluation uses stratified, hold-out, speaker-independent, cross-dataset, and noise-perturbed validation to measure robustness and per-accent fairness. The main contribution is an end-to-end, audit-ready procedure combining acoustic feature engineering, augmentation, class balancing, and multi-level validation for accented Malayalam hate detection. Expected outcomes are improved detection accuracy, better noise robustness, and reduced per-accent performance gaps compared to baseline MFCC-only systems.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an accent-labeled Malayalam speech corpus split into six dialect groups (Malabar, Travancore, Cochin, northern coastal, southern coastal, inland). Target at least 1,000 validated positive (hate) examples per accent when available; record total utterances and speaker IDs. Also include one external Malayalam speech dataset for cross-dataset tests. Baselines: (A) MFCC-only 1D-CNN without augmentation/SMOTE; (B) ASR-transcript text classifier (SVM) on argmax transcript; (C) acoustic feature set without SMOTE; (D) joint text+acoustic early-fusion baseline using concatenation. Proposed systems: 1D-CNN on multi-level acoustic features with augmentation + SMOTE; ensembles/boosted tree models (XGBoost, LightGBM) on aggregated features. Feature extraction: compute ZCR (zero-crossing rate), STFT frames, 13–40 MFCCs, RMS energy, mel spectrogram (log-mel). Data augmentation: additive ambient noise at random SNR in [0,10] dB, time stretching factor in [0.9,1.1], pitch shift in ±2 semitones, SpecAugment time/freq masks. SMOTE: apply to acoustic feature vectors restricted to minority class to reach class parity. Validation protocols: (1) stratified 5-fold CV (preserving accent label), (2) held-out speaker-independent split (no speaker overlap between train/val/test), (3) cross-dataset test on external corpus, (4) noise-perturbed test with controlled SNRs {0,5,10} dB. N-best ASR fusion ablation: for text-based baselines and joint models, compare argmax transcript vs marginalization over top-K (K=10) hypotheses where P(t) ∝ softmax(logprob_t / T) with temperature T=1; compute expected classifier score S = Σ P(t) s(t). Ablations: remove augmentation, remove SMOTE, drop each feature class (ZCR, STFT, MFCC, RMS, mel) one at a time, compare early fusion vs late fusion (ensemble averaging of audio and text model scores). Metrics: macro F1 for hate_presence (primary), per-accent TPR and FPR, ROC AUC, AUCPR, Expected Calibration Error (ECE), Brier score, and robustness curves across SNR. Training details: fix seeds [42,2023,7], report mean ± std over 3 seeds; 1D-CNN architecture: small configurable blocks (conv→BN→ReLU→pool) with global pooling and dense head; train with class-balanced focal loss, batch size 32, up to 50 epochs with early stopping on validation loss. Report per-experiment confusion matrices, bootstrap 95% CIs (10,000 resamples) for main metrics, and permutation tests for significance when comparing systems. Reproducibility: release extraction configs, augmentation logs, SMOTE parameters, train seeds, and Dockerized evaluation notebooks.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ASR errors and heavy code-switching may break text-dependent components and bias results toward accents with lower ASR WER. Small sample sizes for low-prevalence accents will cause high variance and wide confidence intervals; results may not generalize without hierarchical pooling or Bayesian priors. SMOTE can create unrealistic synthetic audio feature vectors that change class boundaries (synthetic artifact risk). Augmentations (pitch/time/noise) may alter perceived intent or semantics, causing label flips; semantic integrity must be checked. Per-accent normalization may remove signal useful for detection, reducing cross-accent transfer. Compute costs for multi-run bootstrap CIs, large augmentation pools, and cross-dataset experiments can be high. Privacy, consent, and legal constraints on speech data collection limit dataset size and sharing. The approach is language- and corpus-specific and may not generalize to other languages or recording conditions without re-tuning.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