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fuzzy_pa_western_taiwan</w:t>
      </w:r>
    </w:p>
    <w:p>
      <w:r>
        <w:t xml:space="preserve"> </w:t>
      </w:r>
    </w:p>
    <w:p>
      <w:pPr>
        <w:pStyle w:val="Heading2"/>
      </w:pPr>
      <w:r>
        <w:t>Title</w:t>
      </w:r>
    </w:p>
    <w:p>
      <w:r>
        <w:t>Applying interval Type-2 fuzzy distinction with copula‑based dependence modeling to design precautionary areas for offshore wind farms on Taiwan's western coast</w:t>
      </w:r>
    </w:p>
    <w:p>
      <w:r>
        <w:t xml:space="preserve"> </w:t>
      </w:r>
    </w:p>
    <w:p>
      <w:pPr>
        <w:pStyle w:val="Heading2"/>
      </w:pPr>
      <w:r>
        <w:t>Short Hypothesis</w:t>
      </w:r>
    </w:p>
    <w:p>
      <w:r>
        <w:t>A precautionary-area model that fuses AIS-derived traffic, marine GIS environmental layers, and ecological occupancy using interval Type-2 fuzzy aggregation with copula-modeled inter-layer dependence will yield higher validation accuracy (fuzzy-Jaccard) against independent incident polygons than models that (a) ignore dependence, (b) use Type-1 fuzzy aggregation, or (c) use simple deterministic buffers, with the improvement being statistically significant (p &lt; 0.05).</w:t>
      </w:r>
    </w:p>
    <w:p>
      <w:r>
        <w:t xml:space="preserve"> </w:t>
      </w:r>
    </w:p>
    <w:p>
      <w:pPr>
        <w:pStyle w:val="Heading2"/>
      </w:pPr>
      <w:r>
        <w:t>Related Work</w:t>
      </w:r>
    </w:p>
    <w:p>
      <w:r>
        <w:t>Existing approaches for offshore-wind precautionary planning typically use deterministic buffers, single-layer thresholds, or crisp rule-based GIS overlays. Some studies apply fuzzy logic to combine heterogeneous layers, but they often use Type-1 fuzzy sets (single membership values) and assume layer independence. Dependence across layers (for example, high ship traffic coincident with weak seabed) is rarely modeled; when dependence is addressed it is usually with ad hoc scenario lists rather than formal copula or vine methods. Ecological layers are often treated without formal detectability correction, and validation tends to use simple spatial overlap metrics without power analyses. Reproducibility and provenance (seed priors, RNGs, elicitation records) are infrequently published, limiting auditability. These gaps reduce robustness under joint uncertainty, hinder regulator acceptance, and make it hard to quantify how assumptions affect precautionary-area boundaries.</w:t>
      </w:r>
    </w:p>
    <w:p>
      <w:r>
        <w:t xml:space="preserve"> </w:t>
      </w:r>
    </w:p>
    <w:p>
      <w:pPr>
        <w:pStyle w:val="Heading2"/>
      </w:pPr>
      <w:r>
        <w:t>Abstract</w:t>
      </w:r>
    </w:p>
    <w:p>
      <w:r>
        <w:t>We address the problem of designing precautionary areas (PAs) for offshore wind farms on Taiwan's western coast under joint uncertainty from navigation, ecological sensitivity, and wind/hydrological factors. We propose an interval Type-2 fuzzy distinction framework that (1) converts AIS ship‑traffic densities, marine GIS layers (bathymetry, substrate, hydrodynamics), and species occupancy estimates into spatial membership fields with documented priors; (2) models inter-layer dependence using copulas or R-vines to sample correlated parameter ensembles; and (3) aggregates memberships via interval Type-2 operators to produce α-cut precautionary maps (core, boundary, negative). Main contributions are formal dependence propagation into fuzzy aggregation, reproducible seed provenance for membership priors, and a validation protocol using fuzzy-Jaccard and power analysis. Expected outcomes include more realistic PA delineations that reflect joint worst-case scenarios and quantified uncertainty envelopes suitable for regulator review and stakeholder engagement.</w:t>
      </w:r>
    </w:p>
    <w:p>
      <w:r>
        <w:t xml:space="preserve"> </w:t>
      </w:r>
    </w:p>
    <w:p>
      <w:pPr>
        <w:pStyle w:val="Heading2"/>
      </w:pPr>
      <w:r>
        <w:t>Experiments</w:t>
      </w:r>
    </w:p>
    <w:p>
      <w:r>
        <w:t>Datasets: Taiwan MSA/Coast Guard AIS (raw tracks), OBIS and local species monitoring (detection histories), IBTrACS and ERA5 (typhoon/wave statistics), GEBCO/TORI bathymetry and substrate maps, local geotechnical reports (bearing capacity), and Coast Guard incident logs (ground truth polygons). Baselines: (B1) deterministic buffer zones around turbines and shipping lanes; (B2) crisp threshold overlay (binary layer cutoffs); (B3) Type-1 fuzzy aggregation assuming independent layers. Proposed model variants: (V1) interval Type-2 fuzzy with independent sampling; (V2) interval Type-2 fuzzy with Gaussian copula; (V3) interval Type-2 fuzzy with R-vine copula. Evaluation metrics: fuzzy-Jaccard index (primary), precision/recall for core/presumed-exclusion areas, FN_high (false negatives on high-consequence incidents), Brier score for probabilistic calibration, area-weighted overlap, and ESS (effective sample size) for sampler convergence. Experimental setup: preprocess all layers to common grid (100 m), compute per-layer membership priors and publish YAML provenance; fit marginals and candidate copulas; derive spatial variograms to set block size for spatial block cross-validation (expected 5–10 km). Perform spatial block CV with temporal holds; run synthetic scenario generator (≥1000 realizations) when incident counts &lt;150; sample α ∈ {0,0.1,...,1} and Nsamp=200–500 per α. Ablation studies: compare V2 vs V1 to quantify dependence effect; compare Type-2 vs Type-1 to quantify interval uncertainty benefit; compare weighted t-norm vs s-norm aggregation operators. Statistical tests: paired bootstrap on fuzzy-Jaccard differences, report p-values and 95% confidence intervals; perform power analysis to justify sample-size targets (50 high-consequence polygons, 150–300 total).</w:t>
      </w:r>
    </w:p>
    <w:p>
      <w:r>
        <w:t xml:space="preserve"> </w:t>
      </w:r>
    </w:p>
    <w:p>
      <w:pPr>
        <w:pStyle w:val="Heading2"/>
      </w:pPr>
      <w:r>
        <w:t>Risk Factors And Limitations</w:t>
      </w:r>
    </w:p>
    <w:p>
      <w:r>
        <w:t>Data gaps and bias: AIS coverage gaps, variable reporting rates, and privacy restrictions may limit traffic estimates; ecological detection error and sparse monitoring can bias occupancy; incident logs may be incomplete. Model mis-specification: wrong copula family or poor marginal fits can misrepresent dependence and produce misleading joint scenarios. Prior sensitivity: results may depend strongly on chosen priors and elicited seeds if data are limited. Validation limits: few independent high-consequence incidents reduce statistical power, increasing reliance on synthetic scenarios. Computational cost and storage: ensemble Type-2 sampling with copulas is compute- and I/O-intensive (multi-node HPC, terabyte-scale Zarr storage). Spatial nonstationarity: locally varying kernels or moving-window choices affect results and reduce transferability to other regions. Policy acceptance risk: regulators may require legal justification for chosen τh/τl mappings and provenance; unclear aggregation operator choices can reduce auditability.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